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5"/>
        <w:gridCol w:w="5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通报编号：</w:t>
            </w:r>
          </w:p>
        </w:tc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G/SPS/N/BRA/1302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巴西该通报涉及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敌草隆</w:t>
      </w:r>
      <w:r>
        <w:rPr>
          <w:rFonts w:hint="default" w:ascii="Times New Roman" w:hAnsi="Times New Roman" w:cs="Times New Roman"/>
          <w:sz w:val="24"/>
          <w:szCs w:val="24"/>
        </w:rPr>
        <w:t>的限量标准及安全期修订：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培植大豆的最大残留限量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改为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0.2mg/kg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安全保证期因使用方式原因未定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敌草隆</w:t>
      </w:r>
      <w:r>
        <w:rPr>
          <w:rFonts w:hint="default" w:ascii="Times New Roman" w:hAnsi="Times New Roman" w:cs="Times New Roman"/>
          <w:sz w:val="24"/>
          <w:szCs w:val="24"/>
        </w:rPr>
        <w:t>在我国</w:t>
      </w:r>
      <w:r>
        <w:rPr>
          <w:rFonts w:ascii="宋体" w:hAnsi="宋体" w:eastAsia="宋体" w:cs="宋体"/>
          <w:sz w:val="24"/>
          <w:szCs w:val="24"/>
        </w:rPr>
        <w:t>甘蔗、棉花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非耕地</w:t>
      </w:r>
      <w:r>
        <w:rPr>
          <w:rFonts w:hint="eastAsia" w:ascii="宋体" w:hAnsi="宋体" w:cs="宋体"/>
          <w:sz w:val="24"/>
          <w:szCs w:val="24"/>
          <w:lang w:eastAsia="zh-CN"/>
        </w:rPr>
        <w:t>上登记使用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我国2763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仅</w:t>
      </w:r>
      <w:r>
        <w:rPr>
          <w:rFonts w:hint="default" w:ascii="Times New Roman" w:hAnsi="Times New Roman" w:cs="Times New Roman"/>
          <w:sz w:val="24"/>
          <w:szCs w:val="24"/>
        </w:rPr>
        <w:t>制定了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敌草隆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>甘蔗和棉籽上</w:t>
      </w:r>
      <w:r>
        <w:rPr>
          <w:rFonts w:hint="default" w:ascii="Times New Roman" w:hAnsi="Times New Roman" w:cs="Times New Roman"/>
          <w:sz w:val="24"/>
          <w:szCs w:val="24"/>
        </w:rPr>
        <w:t>的限量值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，都为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0.1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mg/kg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eastAsia" w:cs="Times New Roman"/>
          <w:sz w:val="24"/>
        </w:rPr>
        <w:t>未制定</w:t>
      </w:r>
      <w:r>
        <w:rPr>
          <w:rFonts w:hint="eastAsia" w:cs="Times New Roman"/>
          <w:sz w:val="24"/>
          <w:lang w:eastAsia="zh-CN"/>
        </w:rPr>
        <w:t>大豆</w:t>
      </w:r>
      <w:r>
        <w:rPr>
          <w:rFonts w:hint="eastAsia" w:cs="Times New Roman"/>
          <w:sz w:val="24"/>
        </w:rPr>
        <w:t>的相关限量标准。</w:t>
      </w:r>
    </w:p>
    <w:p>
      <w:pPr>
        <w:spacing w:line="360" w:lineRule="auto"/>
        <w:ind w:firstLine="480" w:firstLineChars="200"/>
        <w:rPr>
          <w:rFonts w:cs="Times New Roman"/>
          <w:sz w:val="24"/>
        </w:rPr>
      </w:pPr>
      <w:r>
        <w:rPr>
          <w:rFonts w:hint="eastAsia" w:cs="Times New Roman"/>
          <w:sz w:val="24"/>
        </w:rPr>
        <w:t>该通报</w:t>
      </w:r>
      <w:r>
        <w:rPr>
          <w:rFonts w:cs="Times New Roman"/>
          <w:sz w:val="24"/>
        </w:rPr>
        <w:t>此</w:t>
      </w:r>
      <w:r>
        <w:rPr>
          <w:rFonts w:hint="eastAsia" w:cs="Times New Roman"/>
          <w:sz w:val="24"/>
        </w:rPr>
        <w:t>次修订</w:t>
      </w:r>
      <w:r>
        <w:rPr>
          <w:rFonts w:cs="Times New Roman"/>
          <w:sz w:val="24"/>
        </w:rPr>
        <w:t>对我国农产品进出口贸易</w:t>
      </w:r>
      <w:r>
        <w:rPr>
          <w:rFonts w:hint="eastAsia" w:cs="Times New Roman"/>
          <w:sz w:val="24"/>
        </w:rPr>
        <w:t>无</w:t>
      </w:r>
      <w:r>
        <w:rPr>
          <w:rFonts w:cs="Times New Roman"/>
          <w:sz w:val="24"/>
        </w:rPr>
        <w:t>影响。</w:t>
      </w:r>
    </w:p>
    <w:p>
      <w:pPr>
        <w:spacing w:line="360" w:lineRule="auto"/>
        <w:ind w:firstLine="480" w:firstLineChars="200"/>
        <w:rPr>
          <w:rFonts w:cs="Times New Roman"/>
          <w:sz w:val="24"/>
        </w:rPr>
      </w:pPr>
      <w:r>
        <w:rPr>
          <w:rFonts w:cs="Times New Roman"/>
          <w:sz w:val="24"/>
        </w:rPr>
        <w:t>无异议。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o 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jan Pro">
    <w:panose1 w:val="02020502050506020301"/>
    <w:charset w:val="00"/>
    <w:family w:val="auto"/>
    <w:pitch w:val="default"/>
    <w:sig w:usb0="00000007" w:usb1="00000000" w:usb2="00000000" w:usb3="00000000" w:csb0="2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2206B"/>
    <w:rsid w:val="198F3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2017-10-26T15:26:19Z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