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5" w:type="dxa"/>
        <w:jc w:val="center"/>
        <w:tblLayout w:type="fixed"/>
        <w:tblLook w:val="0000" w:firstRow="0" w:lastRow="0" w:firstColumn="0" w:lastColumn="0" w:noHBand="0" w:noVBand="0"/>
      </w:tblPr>
      <w:tblGrid>
        <w:gridCol w:w="5911"/>
        <w:gridCol w:w="2424"/>
      </w:tblGrid>
      <w:tr w:rsidR="00731A07" w:rsidRPr="00731A07" w:rsidTr="00731A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 w:val="restart"/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 w:hint="eastAsia"/>
                <w:b/>
                <w:smallCaps/>
                <w:kern w:val="0"/>
                <w:sz w:val="44"/>
                <w:szCs w:val="20"/>
                <w:lang w:val="en-GB"/>
              </w:rPr>
            </w:pPr>
            <w:r w:rsidRPr="00731A07">
              <w:rPr>
                <w:rFonts w:ascii="Times New Roman" w:eastAsia="宋体" w:hAnsi="Times New Roman" w:cs="Times New Roman" w:hint="eastAsia"/>
                <w:b/>
                <w:smallCaps/>
                <w:kern w:val="0"/>
                <w:sz w:val="44"/>
                <w:szCs w:val="20"/>
                <w:lang w:val="en-GB"/>
              </w:rPr>
              <w:t>世界贸易组织</w:t>
            </w:r>
          </w:p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smallCaps/>
                <w:kern w:val="0"/>
                <w:sz w:val="18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u w:val="single"/>
                <w:lang w:val="en-GB"/>
              </w:rPr>
            </w:pPr>
          </w:p>
        </w:tc>
      </w:tr>
      <w:tr w:rsidR="00731A07" w:rsidRPr="00731A07" w:rsidTr="00731A07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6443" w:type="dxa"/>
            <w:vMerge/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</w:tr>
      <w:tr w:rsidR="00731A07" w:rsidRPr="00731A07" w:rsidTr="00731A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/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mallCaps/>
                <w:kern w:val="0"/>
                <w:sz w:val="44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</w:pP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G/TBT/N/EU/</w:t>
            </w: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16"/>
                <w:lang w:val="en-GB"/>
              </w:rPr>
              <w:t>4</w:t>
            </w: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16"/>
                <w:lang w:val="en-GB"/>
              </w:rPr>
              <w:t>64</w:t>
            </w:r>
          </w:p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731A07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201</w:t>
            </w:r>
            <w:r w:rsidRPr="00731A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7</w:t>
            </w:r>
            <w:r w:rsidRPr="00731A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年</w:t>
            </w:r>
            <w:r w:rsidRPr="00731A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3</w:t>
            </w:r>
            <w:r w:rsidRPr="00731A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月</w:t>
            </w:r>
            <w:r w:rsidRPr="00731A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29</w:t>
            </w:r>
            <w:r w:rsidRPr="00731A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日</w:t>
            </w:r>
          </w:p>
        </w:tc>
      </w:tr>
      <w:tr w:rsidR="00731A07" w:rsidRPr="00731A07" w:rsidTr="00731A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20"/>
                <w:lang w:val="en-GB"/>
              </w:rPr>
            </w:pPr>
            <w:r w:rsidRPr="00731A07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>(1</w:t>
            </w:r>
            <w:r w:rsidRPr="00731A07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val="en-GB"/>
              </w:rPr>
              <w:t>7</w:t>
            </w:r>
            <w:r w:rsidRPr="00731A07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>-1729)</w:t>
            </w:r>
          </w:p>
        </w:tc>
      </w:tr>
      <w:tr w:rsidR="00731A07" w:rsidRPr="00731A07" w:rsidTr="00731A07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6443" w:type="dxa"/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</w:tr>
      <w:tr w:rsidR="00731A07" w:rsidRPr="00731A07" w:rsidTr="00731A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</w:pP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贸易技术壁垒委员会</w:t>
            </w:r>
          </w:p>
        </w:tc>
        <w:tc>
          <w:tcPr>
            <w:tcW w:w="2629" w:type="dxa"/>
          </w:tcPr>
          <w:p w:rsidR="00731A07" w:rsidRPr="00731A07" w:rsidRDefault="00731A07" w:rsidP="00731A07">
            <w:pPr>
              <w:widowControl/>
              <w:tabs>
                <w:tab w:val="left" w:pos="962"/>
                <w:tab w:val="center" w:pos="4513"/>
                <w:tab w:val="right" w:pos="9027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731A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原文：英语</w:t>
            </w:r>
          </w:p>
        </w:tc>
      </w:tr>
    </w:tbl>
    <w:p w:rsidR="00731A07" w:rsidRPr="00731A07" w:rsidRDefault="00731A07" w:rsidP="00731A07">
      <w:pPr>
        <w:widowControl/>
        <w:tabs>
          <w:tab w:val="left" w:pos="720"/>
        </w:tabs>
        <w:jc w:val="center"/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</w:pPr>
    </w:p>
    <w:p w:rsidR="00731A07" w:rsidRPr="00731A07" w:rsidRDefault="00731A07" w:rsidP="00731A07">
      <w:pPr>
        <w:widowControl/>
        <w:tabs>
          <w:tab w:val="left" w:pos="720"/>
        </w:tabs>
        <w:jc w:val="center"/>
        <w:rPr>
          <w:rFonts w:ascii="Times New Roman" w:eastAsia="宋体" w:hAnsi="Times New Roman" w:cs="Times New Roman" w:hint="eastAsia"/>
          <w:b/>
          <w:caps/>
          <w:kern w:val="28"/>
          <w:sz w:val="30"/>
          <w:szCs w:val="20"/>
          <w:lang w:val="en-GB"/>
        </w:rPr>
      </w:pPr>
      <w:r w:rsidRPr="00731A07">
        <w:rPr>
          <w:rFonts w:ascii="Times New Roman" w:eastAsia="宋体" w:hAnsi="Times New Roman" w:cs="Times New Roman" w:hint="eastAsia"/>
          <w:b/>
          <w:caps/>
          <w:kern w:val="28"/>
          <w:sz w:val="30"/>
          <w:szCs w:val="20"/>
          <w:lang w:val="en-GB"/>
        </w:rPr>
        <w:t>通</w:t>
      </w:r>
      <w:r w:rsidRPr="00731A07">
        <w:rPr>
          <w:rFonts w:ascii="Times New Roman" w:eastAsia="宋体" w:hAnsi="Times New Roman" w:cs="Times New Roman" w:hint="eastAsia"/>
          <w:b/>
          <w:caps/>
          <w:kern w:val="28"/>
          <w:sz w:val="30"/>
          <w:szCs w:val="20"/>
          <w:lang w:val="en-GB"/>
        </w:rPr>
        <w:t xml:space="preserve">             </w:t>
      </w:r>
      <w:r w:rsidRPr="00731A07">
        <w:rPr>
          <w:rFonts w:ascii="Times New Roman" w:eastAsia="宋体" w:hAnsi="Times New Roman" w:cs="Times New Roman" w:hint="eastAsia"/>
          <w:b/>
          <w:caps/>
          <w:kern w:val="28"/>
          <w:sz w:val="30"/>
          <w:szCs w:val="20"/>
          <w:lang w:val="en-GB"/>
        </w:rPr>
        <w:t>报</w:t>
      </w:r>
    </w:p>
    <w:p w:rsidR="00731A07" w:rsidRPr="00731A07" w:rsidRDefault="00731A07" w:rsidP="00731A07">
      <w:pPr>
        <w:widowControl/>
        <w:tabs>
          <w:tab w:val="left" w:pos="720"/>
        </w:tabs>
        <w:jc w:val="center"/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</w:pPr>
    </w:p>
    <w:p w:rsidR="00731A07" w:rsidRPr="00731A07" w:rsidRDefault="00731A07" w:rsidP="00731A07">
      <w:pPr>
        <w:widowControl/>
        <w:tabs>
          <w:tab w:val="left" w:pos="720"/>
        </w:tabs>
        <w:jc w:val="center"/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</w:pPr>
      <w:r w:rsidRPr="00731A07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>以下通报根据</w:t>
      </w:r>
      <w:r w:rsidRPr="00731A07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>TBT</w:t>
      </w:r>
      <w:r w:rsidRPr="00731A07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>协定第</w:t>
      </w:r>
      <w:r w:rsidRPr="00731A07"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  <w:t>10.6</w:t>
      </w:r>
      <w:r w:rsidRPr="00731A07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 xml:space="preserve"> </w:t>
      </w:r>
      <w:r w:rsidRPr="00731A07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>条分发</w:t>
      </w:r>
    </w:p>
    <w:p w:rsidR="00731A07" w:rsidRPr="00731A07" w:rsidRDefault="00731A07" w:rsidP="00731A07">
      <w:pPr>
        <w:widowControl/>
        <w:tabs>
          <w:tab w:val="left" w:pos="720"/>
        </w:tabs>
        <w:jc w:val="center"/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</w:pPr>
    </w:p>
    <w:tbl>
      <w:tblPr>
        <w:tblW w:w="83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66"/>
        <w:gridCol w:w="1729"/>
        <w:gridCol w:w="5940"/>
      </w:tblGrid>
      <w:tr w:rsidR="00731A07" w:rsidRPr="00731A07" w:rsidTr="00731A07">
        <w:trPr>
          <w:jc w:val="center"/>
        </w:trPr>
        <w:tc>
          <w:tcPr>
            <w:tcW w:w="666" w:type="dxa"/>
            <w:tcBorders>
              <w:top w:val="double" w:sz="4" w:space="0" w:color="auto"/>
              <w:bottom w:val="single" w:sz="4" w:space="0" w:color="auto"/>
            </w:tcBorders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1.</w:t>
            </w:r>
          </w:p>
        </w:tc>
        <w:tc>
          <w:tcPr>
            <w:tcW w:w="7669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u w:val="single"/>
                <w:lang w:val="en-GB"/>
              </w:rPr>
            </w:pP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通报成员：</w:t>
            </w:r>
            <w:r w:rsidRPr="00731A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u w:val="single"/>
                <w:lang w:val="en-GB"/>
              </w:rPr>
              <w:t>欧盟</w:t>
            </w:r>
          </w:p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如可能，列出涉及的地方政府名称</w:t>
            </w: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( 3.2</w:t>
            </w: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条和</w:t>
            </w: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7.2</w:t>
            </w: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条</w:t>
            </w: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)</w:t>
            </w: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：</w:t>
            </w:r>
          </w:p>
        </w:tc>
      </w:tr>
      <w:tr w:rsidR="00731A07" w:rsidRPr="00731A07" w:rsidTr="00731A07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2.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</w:pP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负责机构：</w:t>
            </w:r>
            <w:r w:rsidRPr="00731A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欧盟委员会</w:t>
            </w:r>
            <w:r w:rsidRPr="00731A07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</w:tr>
      <w:tr w:rsidR="00731A07" w:rsidRPr="00731A07" w:rsidTr="00731A07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3.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通报依据的条款</w:t>
            </w: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731A07">
                <w:rPr>
                  <w:rFonts w:ascii="Times New Roman" w:eastAsia="宋体" w:hAnsi="Times New Roman" w:cs="Times New Roman"/>
                  <w:b/>
                  <w:kern w:val="0"/>
                  <w:sz w:val="22"/>
                  <w:szCs w:val="20"/>
                  <w:lang w:val="en-GB"/>
                </w:rPr>
                <w:t>2.9.2</w:t>
              </w:r>
            </w:smartTag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[X</w:t>
            </w: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], 2.10.1 [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 </w:t>
            </w: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], 5.6.2 [</w:t>
            </w: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731A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 xml:space="preserve"> </w:t>
            </w: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], 5.7.1 [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 </w:t>
            </w: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], </w:t>
            </w: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其他</w:t>
            </w: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731A07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</w:tr>
      <w:tr w:rsidR="00731A07" w:rsidRPr="00731A07" w:rsidTr="00731A07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4.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覆盖的产品</w:t>
            </w: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(</w:t>
            </w: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如可能，提供产品的</w:t>
            </w: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HS </w:t>
            </w: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或</w:t>
            </w: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CCCN</w:t>
            </w: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编码</w:t>
            </w: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否则提供国家减让表中所列关税税目号。如可能，可另提供国际标准分类</w:t>
            </w: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ICS</w:t>
            </w: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号</w:t>
            </w: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)</w:t>
            </w: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731A07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</w:t>
            </w:r>
            <w:r w:rsidRPr="00731A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生物农药产品。</w:t>
            </w:r>
          </w:p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731A07">
              <w:rPr>
                <w:rFonts w:ascii="CG Times" w:eastAsia="宋体" w:hAnsi="CG Times" w:cs="Times New Roman"/>
                <w:b/>
                <w:color w:val="000000"/>
                <w:kern w:val="0"/>
                <w:sz w:val="22"/>
                <w:szCs w:val="20"/>
                <w:lang w:val="en-GB"/>
              </w:rPr>
              <w:t>ICS:</w:t>
            </w:r>
            <w:r w:rsidRPr="00731A07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 xml:space="preserve">     </w:t>
            </w:r>
            <w:r w:rsidRPr="00731A07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731A07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731A07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731A07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731A07">
              <w:rPr>
                <w:rFonts w:ascii="CG Times" w:eastAsia="宋体" w:hAnsi="CG Times" w:cs="Times New Roman" w:hint="eastAsia"/>
                <w:color w:val="000000"/>
                <w:kern w:val="0"/>
                <w:sz w:val="22"/>
                <w:szCs w:val="20"/>
                <w:lang w:val="en-GB"/>
              </w:rPr>
              <w:t xml:space="preserve">          </w:t>
            </w:r>
            <w:r w:rsidRPr="00731A07">
              <w:rPr>
                <w:rFonts w:ascii="CG Times" w:eastAsia="宋体" w:hAnsi="CG Times" w:cs="Times New Roman"/>
                <w:b/>
                <w:color w:val="000000"/>
                <w:kern w:val="0"/>
                <w:sz w:val="22"/>
                <w:szCs w:val="20"/>
                <w:lang w:val="en-GB"/>
              </w:rPr>
              <w:t>HS:</w:t>
            </w:r>
            <w:r w:rsidRPr="00731A07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</w:tr>
      <w:tr w:rsidR="00731A07" w:rsidRPr="00731A07" w:rsidTr="00731A07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5.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</w:pP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通报文件的标题</w:t>
            </w: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页数和使用语言</w:t>
            </w: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731A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 xml:space="preserve"> </w:t>
            </w:r>
            <w:r w:rsidRPr="00731A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欧盟委员会法规实施细则草案，批准</w:t>
            </w:r>
            <w:r w:rsidRPr="00731A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从四乙酰乙二胺和过</w:t>
            </w:r>
            <w:proofErr w:type="gramStart"/>
            <w:r w:rsidRPr="00731A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碳酸纳</w:t>
            </w:r>
            <w:proofErr w:type="gramEnd"/>
            <w:r w:rsidRPr="00731A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产生的过氧乙酸</w:t>
            </w:r>
            <w:r w:rsidRPr="00731A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作为现有活性物质用于产品类别</w:t>
            </w:r>
            <w:r w:rsidRPr="00731A07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>2</w:t>
            </w:r>
            <w:r w:rsidRPr="00731A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、</w:t>
            </w:r>
            <w:r w:rsidRPr="00731A07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>3</w:t>
            </w:r>
            <w:r w:rsidRPr="00731A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和</w:t>
            </w:r>
            <w:r w:rsidRPr="00731A07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>4</w:t>
            </w:r>
            <w:r w:rsidRPr="00731A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的生物农药产品（</w:t>
            </w:r>
            <w:r w:rsidRPr="00731A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3</w:t>
            </w:r>
            <w:r w:rsidRPr="00731A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页</w:t>
            </w:r>
            <w:r w:rsidRPr="00731A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+</w:t>
            </w:r>
            <w:r w:rsidRPr="00731A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附录</w:t>
            </w:r>
            <w:r w:rsidRPr="00731A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3</w:t>
            </w:r>
            <w:r w:rsidRPr="00731A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页，英语）</w:t>
            </w:r>
          </w:p>
        </w:tc>
      </w:tr>
      <w:tr w:rsidR="00731A07" w:rsidRPr="00731A07" w:rsidTr="00731A07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6.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</w:pP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内容简述</w:t>
            </w: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731A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本欧盟委员会法规实施细则草案批准</w:t>
            </w:r>
            <w:r w:rsidRPr="00731A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从四乙酰乙二胺和过</w:t>
            </w:r>
            <w:proofErr w:type="gramStart"/>
            <w:r w:rsidRPr="00731A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碳酸纳</w:t>
            </w:r>
            <w:proofErr w:type="gramEnd"/>
            <w:r w:rsidRPr="00731A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产生的过氧乙酸</w:t>
            </w:r>
            <w:r w:rsidRPr="00731A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作为现有活性物质用于产品类别</w:t>
            </w:r>
            <w:r w:rsidRPr="00731A07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>2</w:t>
            </w:r>
            <w:r w:rsidRPr="00731A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、</w:t>
            </w:r>
            <w:r w:rsidRPr="00731A07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>3</w:t>
            </w:r>
            <w:r w:rsidRPr="00731A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和</w:t>
            </w:r>
            <w:r w:rsidRPr="00731A07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>4</w:t>
            </w:r>
            <w:r w:rsidRPr="00731A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的生物农药产品。</w:t>
            </w:r>
          </w:p>
        </w:tc>
      </w:tr>
      <w:tr w:rsidR="00731A07" w:rsidRPr="00731A07" w:rsidTr="00731A07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7.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</w:pP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目标和理由</w:t>
            </w: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如是紧急措施，说明紧急问题的性质</w:t>
            </w: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731A07">
              <w:rPr>
                <w:rFonts w:ascii="Times New Roman" w:eastAsia="宋体" w:hAnsi="Times New Roman" w:cs="Times New Roman"/>
                <w:bCs/>
                <w:spacing w:val="-2"/>
                <w:kern w:val="0"/>
                <w:sz w:val="22"/>
                <w:lang w:val="en-GB"/>
              </w:rPr>
              <w:t xml:space="preserve"> </w:t>
            </w:r>
            <w:r w:rsidRPr="00731A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保护公众健康和环境。</w:t>
            </w:r>
            <w:r w:rsidRPr="00731A07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统一欧盟</w:t>
            </w:r>
            <w:r w:rsidRPr="00731A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生物农药产品市场。</w:t>
            </w:r>
          </w:p>
        </w:tc>
      </w:tr>
      <w:tr w:rsidR="00731A07" w:rsidRPr="00731A07" w:rsidTr="00731A07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8.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相关文件</w:t>
            </w: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731A07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2012</w:t>
            </w:r>
            <w:r w:rsidRPr="00731A07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年</w:t>
            </w:r>
            <w:r w:rsidRPr="00731A07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5</w:t>
            </w:r>
            <w:r w:rsidRPr="00731A07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月</w:t>
            </w:r>
            <w:r w:rsidRPr="00731A07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22</w:t>
            </w:r>
            <w:r w:rsidRPr="00731A07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日</w:t>
            </w:r>
            <w:r w:rsidRPr="00731A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欧洲议会和理事会关于生物农药产品上市和使用的法规</w:t>
            </w:r>
            <w:r w:rsidRPr="00731A07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(EU) No 528/2012</w:t>
            </w:r>
            <w:r w:rsidRPr="00731A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（</w:t>
            </w:r>
            <w:r w:rsidRPr="00731A07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OJ L 167, 27.6.2012, p. 1</w:t>
            </w:r>
            <w:r w:rsidRPr="00731A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），所有</w:t>
            </w:r>
            <w:r w:rsidRPr="00731A07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欧盟国家语言：</w:t>
            </w:r>
          </w:p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731A07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http://eur-lex.europa.eu/legal-content/EN/TXT/?qid=1426693289783&amp;uri=CELEX</w:t>
            </w:r>
            <w:bookmarkStart w:id="0" w:name="_GoBack"/>
            <w:bookmarkEnd w:id="0"/>
            <w:r w:rsidRPr="00731A07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:32012R0528</w:t>
            </w:r>
          </w:p>
        </w:tc>
      </w:tr>
      <w:tr w:rsidR="00731A07" w:rsidRPr="00731A07" w:rsidTr="00731A07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9.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</w:pP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拟批准日期</w:t>
            </w: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:  </w:t>
            </w:r>
          </w:p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拟生效日期</w:t>
            </w: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: </w:t>
            </w: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731A07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>2017</w:t>
            </w:r>
            <w:r w:rsidRPr="00731A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年</w:t>
            </w:r>
            <w:r w:rsidRPr="00731A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6</w:t>
            </w:r>
            <w:r w:rsidRPr="00731A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月底</w:t>
            </w:r>
          </w:p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</w:pPr>
            <w:r w:rsidRPr="00731A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在欧盟官方公报上公布之后</w:t>
            </w:r>
            <w:r w:rsidRPr="00731A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20</w:t>
            </w:r>
            <w:r w:rsidRPr="00731A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天（</w:t>
            </w:r>
            <w:r w:rsidRPr="00731A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2019</w:t>
            </w:r>
            <w:r w:rsidRPr="00731A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年</w:t>
            </w:r>
            <w:r w:rsidRPr="00731A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1</w:t>
            </w:r>
            <w:r w:rsidRPr="00731A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月适用）</w:t>
            </w:r>
          </w:p>
        </w:tc>
      </w:tr>
      <w:tr w:rsidR="00731A07" w:rsidRPr="00731A07" w:rsidTr="00731A07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10.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提意见截止日期</w:t>
            </w: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731A07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</w:t>
            </w:r>
            <w:r w:rsidRPr="00731A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通报之后</w:t>
            </w:r>
            <w:r w:rsidRPr="00731A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60</w:t>
            </w:r>
            <w:r w:rsidRPr="00731A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天</w:t>
            </w:r>
          </w:p>
        </w:tc>
      </w:tr>
      <w:tr w:rsidR="00731A07" w:rsidRPr="00731A07" w:rsidTr="00731A07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double" w:sz="4" w:space="0" w:color="auto"/>
            </w:tcBorders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11.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731A07" w:rsidRPr="00731A07" w:rsidRDefault="00731A07" w:rsidP="00731A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文本可从以下机构得到：国家咨询点</w:t>
            </w: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[</w:t>
            </w:r>
            <w:r w:rsidRPr="00731A07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X</w:t>
            </w: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] </w:t>
            </w: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或其他机构，地址、</w:t>
            </w: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电话和传真号</w:t>
            </w: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, e-mail </w:t>
            </w:r>
            <w:r w:rsidRPr="00731A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地址和网址</w:t>
            </w:r>
            <w:r w:rsidRPr="00731A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:  </w:t>
            </w:r>
          </w:p>
        </w:tc>
      </w:tr>
    </w:tbl>
    <w:p w:rsidR="00B71E3B" w:rsidRPr="00731A07" w:rsidRDefault="00731A07">
      <w:pPr>
        <w:rPr>
          <w:lang w:val="en-GB"/>
        </w:rPr>
      </w:pPr>
    </w:p>
    <w:sectPr w:rsidR="00B71E3B" w:rsidRPr="00731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07"/>
    <w:rsid w:val="00500A5D"/>
    <w:rsid w:val="00731A07"/>
    <w:rsid w:val="00D1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46838-28E7-4724-B74D-0074114A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1</cp:revision>
  <dcterms:created xsi:type="dcterms:W3CDTF">2017-04-13T03:14:00Z</dcterms:created>
  <dcterms:modified xsi:type="dcterms:W3CDTF">2017-04-13T03:16:00Z</dcterms:modified>
</cp:coreProperties>
</file>