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3263F4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447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201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20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3263F4">
              <w:rPr>
                <w:kern w:val="0"/>
                <w:sz w:val="18"/>
                <w:szCs w:val="18"/>
                <w:lang w:val="en-GB"/>
              </w:rPr>
              <w:t>(1</w:t>
            </w:r>
            <w:r w:rsidRPr="003263F4">
              <w:rPr>
                <w:rFonts w:hint="eastAsia"/>
                <w:kern w:val="0"/>
                <w:sz w:val="18"/>
                <w:szCs w:val="18"/>
                <w:lang w:val="en-GB"/>
              </w:rPr>
              <w:t>7</w:t>
            </w:r>
            <w:r w:rsidRPr="003263F4">
              <w:rPr>
                <w:kern w:val="0"/>
                <w:sz w:val="18"/>
                <w:szCs w:val="18"/>
                <w:lang w:val="en-GB"/>
              </w:rPr>
              <w:t>-0398)</w:t>
            </w:r>
          </w:p>
        </w:tc>
      </w:tr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3263F4" w:rsidRPr="003263F4" w:rsidTr="00326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3263F4" w:rsidRPr="003263F4" w:rsidRDefault="003263F4" w:rsidP="003263F4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3263F4" w:rsidRPr="003263F4" w:rsidRDefault="003263F4" w:rsidP="003263F4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3263F4" w:rsidRPr="003263F4" w:rsidRDefault="003263F4" w:rsidP="003263F4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3263F4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3263F4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3263F4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3263F4" w:rsidRPr="003263F4" w:rsidRDefault="003263F4" w:rsidP="003263F4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3263F4" w:rsidRPr="003263F4" w:rsidRDefault="003263F4" w:rsidP="003263F4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3263F4">
        <w:rPr>
          <w:rFonts w:hint="eastAsia"/>
          <w:kern w:val="0"/>
          <w:sz w:val="22"/>
          <w:szCs w:val="20"/>
          <w:lang w:val="en-GB"/>
        </w:rPr>
        <w:t>以下通报根据</w:t>
      </w:r>
      <w:r w:rsidRPr="003263F4">
        <w:rPr>
          <w:rFonts w:hint="eastAsia"/>
          <w:kern w:val="0"/>
          <w:sz w:val="22"/>
          <w:szCs w:val="20"/>
          <w:lang w:val="en-GB"/>
        </w:rPr>
        <w:t>TBT</w:t>
      </w:r>
      <w:r w:rsidRPr="003263F4">
        <w:rPr>
          <w:rFonts w:hint="eastAsia"/>
          <w:kern w:val="0"/>
          <w:sz w:val="22"/>
          <w:szCs w:val="20"/>
          <w:lang w:val="en-GB"/>
        </w:rPr>
        <w:t>协定第</w:t>
      </w:r>
      <w:r w:rsidRPr="003263F4">
        <w:rPr>
          <w:kern w:val="0"/>
          <w:sz w:val="22"/>
          <w:szCs w:val="20"/>
          <w:lang w:val="en-GB"/>
        </w:rPr>
        <w:t>10.6</w:t>
      </w:r>
      <w:r w:rsidRPr="003263F4">
        <w:rPr>
          <w:rFonts w:hint="eastAsia"/>
          <w:kern w:val="0"/>
          <w:sz w:val="22"/>
          <w:szCs w:val="20"/>
          <w:lang w:val="en-GB"/>
        </w:rPr>
        <w:t xml:space="preserve"> </w:t>
      </w:r>
      <w:r w:rsidRPr="003263F4">
        <w:rPr>
          <w:rFonts w:hint="eastAsia"/>
          <w:kern w:val="0"/>
          <w:sz w:val="22"/>
          <w:szCs w:val="20"/>
          <w:lang w:val="en-GB"/>
        </w:rPr>
        <w:t>条分发</w:t>
      </w:r>
    </w:p>
    <w:p w:rsidR="003263F4" w:rsidRPr="003263F4" w:rsidRDefault="003263F4" w:rsidP="003263F4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8"/>
        <w:gridCol w:w="1572"/>
        <w:gridCol w:w="6095"/>
      </w:tblGrid>
      <w:tr w:rsidR="003263F4" w:rsidRPr="003263F4" w:rsidTr="003263F4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836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3263F4"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7.2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263F4">
                <w:rPr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ICS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（杀虫剂活性物质）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3263F4">
              <w:rPr>
                <w:rFonts w:ascii="CG Times" w:hAnsi="CG Times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3263F4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3263F4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欧盟委员会法规实施细则草案，修订关于活性物质除虫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批准条件的法规实施细则</w:t>
            </w:r>
            <w:r w:rsidRPr="003263F4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5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本欧盟委员会法规实施细则草案规定活性物质除虫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的批准条件已经修订。现已授权的含除虫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植物保护产品将改进或从市场上撤销。修订基于依照法规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(EC) No 1107/2009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审核批准该物质在欧盟作为杀虫剂活性物质使用后提交的信息评估。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本专门决议涉及该物质的上市，不影响杀虫剂最大残留（</w:t>
            </w:r>
            <w:r w:rsidRPr="003263F4">
              <w:rPr>
                <w:kern w:val="0"/>
                <w:sz w:val="22"/>
                <w:szCs w:val="20"/>
                <w:lang w:val="en-GB"/>
              </w:rPr>
              <w:t>MRLs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）。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保护人类健康安全；保护动植物生命健康；保护环境。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在批准修订</w:t>
            </w:r>
            <w:proofErr w:type="gramStart"/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后关于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除虫脲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确认数据的评估和同业评审过程中（欧盟委员会指令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>2010/39/EU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），发现代谢物和杂质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4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氯苯胺（</w:t>
            </w:r>
            <w:r w:rsidRPr="003263F4">
              <w:rPr>
                <w:kern w:val="0"/>
                <w:sz w:val="22"/>
                <w:szCs w:val="20"/>
                <w:lang w:val="en-GB"/>
              </w:rPr>
              <w:t>PCA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）是体内遗传毒性和致癌剂，但遗传毒性和可能致癌在人体接触除虫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动物模型研究中未被观察到，因此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PCA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作为代谢物和杂质。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然而，鉴于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的遗传毒性和致癌性质，确定了可能接触残留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的关注。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在随后的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批准审查提交数据的评估和同业评审过程中，发现提交的附加信息不能证明消费者接触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残留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引起的风险是可接受的。特别是，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被证明以代谢途径存在于植物和家畜，但也不排除其它方式。此外，研究显示在类似食品灭菌过程条件下，大量除虫</w:t>
            </w:r>
            <w:proofErr w:type="gramStart"/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残留物转化为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，并且对于家庭处理行为也不能排除这种转化。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lastRenderedPageBreak/>
              <w:t>考虑到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的遗传毒性和致癌性质以及没有可接受接触阈值，审查不能确定消费者接触残留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PCA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，符合植物保护规范的施用结果，没有有害影响。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为确保消费者避免接触</w:t>
            </w:r>
            <w:r w:rsidRPr="003263F4">
              <w:rPr>
                <w:kern w:val="0"/>
                <w:sz w:val="22"/>
                <w:szCs w:val="20"/>
                <w:lang w:val="en-GB"/>
              </w:rPr>
              <w:t>PCA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，必须修订批准条件以包括使用限制。除虫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仅限于在非食用作物上使用，除虫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处理过的作物不得进入食品和饲料链。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现有授权需要修订或撤销；成员国必须最迟在法规生效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3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个月内修改或撤销现有包含除虫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的植物保护产品。考虑到符合法规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(EC) No 1107/2009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第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46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条的宽限期，生效后最迟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15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个月到期。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lastRenderedPageBreak/>
              <w:t>8.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2009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10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21</w:t>
            </w:r>
            <w:r w:rsidRPr="003263F4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欧洲议会和理事会法规</w:t>
            </w:r>
            <w:r w:rsidRPr="003263F4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关于植物保护产品上市及撤销理事会指令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79/117/EEC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 91/414/EEC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（</w:t>
            </w:r>
            <w:r w:rsidRPr="003263F4">
              <w:rPr>
                <w:kern w:val="0"/>
                <w:sz w:val="22"/>
                <w:szCs w:val="20"/>
                <w:lang w:val="en-GB"/>
              </w:rPr>
              <w:t>OJ L 309, 24.11.2009, p. 1-50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http://eur-lex.europa.eu/legal-content/EN/TXT/?uri=CELEX:32009R1107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2011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5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25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日欧盟委员会法规实施细则</w:t>
            </w:r>
            <w:r w:rsidRPr="003263F4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执行欧洲议会和理事会法规</w:t>
            </w:r>
            <w:r w:rsidRPr="003263F4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关于批准的活性物质清单</w:t>
            </w:r>
            <w:r w:rsidRPr="003263F4">
              <w:rPr>
                <w:kern w:val="0"/>
                <w:sz w:val="22"/>
                <w:szCs w:val="20"/>
                <w:lang w:val="en-GB"/>
              </w:rPr>
              <w:t>(OJ L 153, 11.6.2011, p. 1–186)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http://eur-lex.europa.eu/legal-content/EN/TXT/?qid=1442928512004&amp;uri=CELEX:32011R0540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2008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>2008/69/EC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修订理事会指令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>91/414/EEC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增加四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螨嗪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、麦草畏、苯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醚甲环唑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、灭草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喹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、环草定、恶草酮、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毒莠定和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蚊蝇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醚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作为活性物质（</w:t>
            </w:r>
            <w:r w:rsidRPr="003263F4">
              <w:rPr>
                <w:kern w:val="0"/>
                <w:sz w:val="22"/>
                <w:szCs w:val="20"/>
                <w:lang w:val="en-GB"/>
              </w:rPr>
              <w:t>OJ L 172, 2.7.2008, p. 9-14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http://eur-lex.europa.eu/legal-content/EN/TXT/?uri=CELEX:32008L0069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2010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6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22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>2010/39/EU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修订理事会指令</w:t>
            </w:r>
            <w:r w:rsidRPr="003263F4">
              <w:rPr>
                <w:kern w:val="0"/>
                <w:sz w:val="22"/>
                <w:szCs w:val="20"/>
                <w:lang w:val="en-GB"/>
              </w:rPr>
              <w:t>91/414/EEC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附录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I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关于活性物质四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螨嗪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、环草定、恶草酮、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毒莠定和蚊蝇醚的专门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规定（</w:t>
            </w:r>
            <w:r w:rsidRPr="003263F4">
              <w:rPr>
                <w:kern w:val="0"/>
                <w:sz w:val="22"/>
                <w:szCs w:val="20"/>
                <w:lang w:val="en-GB"/>
              </w:rPr>
              <w:t>OJ L 156, 23.6.2010, p. 7-11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）：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http://eur-lex.europa.eu/legal-content/EN/TXT/?uri=CELEX:32010L0039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fr-CH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·欧洲食品安全局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(EFSA)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；关于活性物质除虫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提交的确认数据杀虫剂风险评估同业评审结论。</w:t>
            </w:r>
            <w:r w:rsidRPr="003263F4">
              <w:rPr>
                <w:kern w:val="0"/>
                <w:sz w:val="22"/>
                <w:szCs w:val="20"/>
                <w:lang w:val="fr-BE" w:eastAsia="fr-BE"/>
              </w:rPr>
              <w:t>EFSA</w:t>
            </w:r>
            <w:r w:rsidRPr="003263F4">
              <w:rPr>
                <w:rFonts w:hint="eastAsia"/>
                <w:kern w:val="0"/>
                <w:sz w:val="22"/>
                <w:szCs w:val="20"/>
                <w:lang w:val="fr-BE" w:eastAsia="fr-BE"/>
              </w:rPr>
              <w:t>杂志</w:t>
            </w:r>
            <w:r w:rsidRPr="003263F4">
              <w:rPr>
                <w:kern w:val="0"/>
                <w:sz w:val="22"/>
                <w:szCs w:val="20"/>
                <w:lang w:val="fr-CH"/>
              </w:rPr>
              <w:t>2012;10(9):2870. [26 pp.] doi:10.2903/j.efsa.2012.2870</w:t>
            </w:r>
            <w:r w:rsidRPr="003263F4">
              <w:rPr>
                <w:rFonts w:hint="eastAsia"/>
                <w:kern w:val="0"/>
                <w:sz w:val="22"/>
                <w:szCs w:val="20"/>
                <w:lang w:val="fr-CH"/>
              </w:rPr>
              <w:t>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kern w:val="0"/>
                <w:sz w:val="22"/>
                <w:szCs w:val="20"/>
                <w:lang w:val="en-GB"/>
              </w:rPr>
              <w:t>https://www.efsa.europa.eu/en/efsajournal/pub/2870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·欧洲食品安全局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(EFSA)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；关于活性物质除虫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脲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代谢物</w:t>
            </w:r>
            <w:r w:rsidRPr="003263F4">
              <w:rPr>
                <w:kern w:val="0"/>
                <w:sz w:val="22"/>
                <w:szCs w:val="20"/>
                <w:lang w:val="en-GB"/>
              </w:rPr>
              <w:t>PCA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核准审查的同业评审结论。</w:t>
            </w:r>
            <w:r w:rsidRPr="003263F4">
              <w:rPr>
                <w:kern w:val="0"/>
                <w:sz w:val="22"/>
                <w:szCs w:val="20"/>
                <w:lang w:val="fr-BE" w:eastAsia="fr-BE"/>
              </w:rPr>
              <w:t>EFSA</w:t>
            </w:r>
            <w:r w:rsidRPr="003263F4">
              <w:rPr>
                <w:rFonts w:hint="eastAsia"/>
                <w:kern w:val="0"/>
                <w:sz w:val="22"/>
                <w:szCs w:val="20"/>
                <w:lang w:val="fr-BE" w:eastAsia="fr-BE"/>
              </w:rPr>
              <w:t>杂志</w:t>
            </w:r>
            <w:r w:rsidRPr="003263F4">
              <w:rPr>
                <w:rFonts w:cs="AdvTT62f2e734"/>
                <w:kern w:val="0"/>
                <w:sz w:val="22"/>
                <w:szCs w:val="18"/>
                <w:lang w:val="fr-BE"/>
              </w:rPr>
              <w:t>2016</w:t>
            </w:r>
            <w:r w:rsidRPr="003263F4">
              <w:rPr>
                <w:kern w:val="0"/>
                <w:sz w:val="22"/>
                <w:szCs w:val="20"/>
                <w:lang w:val="fr-CH"/>
              </w:rPr>
              <w:t>;1</w:t>
            </w:r>
            <w:r w:rsidRPr="003263F4">
              <w:rPr>
                <w:rFonts w:cs="AdvTT62f2e734"/>
                <w:kern w:val="0"/>
                <w:sz w:val="22"/>
                <w:szCs w:val="18"/>
                <w:lang w:val="fr-BE"/>
              </w:rPr>
              <w:t>4(6):4515, 26 pp. doi:10.2903/j.efsa.2016.4515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。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活性物质</w:t>
            </w:r>
            <w:proofErr w:type="gramStart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啶氧菌酯杀虫剂</w:t>
            </w:r>
            <w:proofErr w:type="gramEnd"/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风险评估的同业评审结论。</w:t>
            </w:r>
            <w:r w:rsidRPr="003263F4">
              <w:rPr>
                <w:kern w:val="0"/>
                <w:sz w:val="22"/>
                <w:szCs w:val="20"/>
                <w:lang w:val="fr-BE" w:eastAsia="fr-BE"/>
              </w:rPr>
              <w:t>EFSA</w:t>
            </w:r>
            <w:r w:rsidRPr="003263F4">
              <w:rPr>
                <w:rFonts w:hint="eastAsia"/>
                <w:kern w:val="0"/>
                <w:sz w:val="22"/>
                <w:szCs w:val="20"/>
                <w:lang w:val="fr-BE" w:eastAsia="fr-BE"/>
              </w:rPr>
              <w:t>杂志</w:t>
            </w:r>
            <w:r w:rsidRPr="003263F4">
              <w:rPr>
                <w:kern w:val="0"/>
                <w:sz w:val="22"/>
                <w:szCs w:val="20"/>
                <w:lang w:val="fr-CH"/>
              </w:rPr>
              <w:t>2015;13(8):4222. [30 pp.] doi:10.2903/j.efsa.2015.4222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3263F4">
              <w:rPr>
                <w:spacing w:val="-2"/>
                <w:kern w:val="0"/>
                <w:sz w:val="22"/>
                <w:szCs w:val="20"/>
                <w:lang w:val="en-GB"/>
              </w:rPr>
              <w:t xml:space="preserve">https://www.efsa.europa.eu/en/efsajournal/pub/4222   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2017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年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2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季度</w:t>
            </w:r>
          </w:p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20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天（生效后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3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个月内修订或撤销现有授权）。成员国可能批准销售、分销、处理、存储和使用现有库存的宽限期（最长总共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15</w:t>
            </w:r>
            <w:r w:rsidRPr="003263F4">
              <w:rPr>
                <w:rFonts w:hint="eastAsia"/>
                <w:spacing w:val="-2"/>
                <w:kern w:val="0"/>
                <w:sz w:val="22"/>
                <w:lang w:val="en-GB"/>
              </w:rPr>
              <w:t>个月）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3263F4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通报之后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60</w:t>
            </w:r>
            <w:r w:rsidRPr="003263F4">
              <w:rPr>
                <w:rFonts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3263F4" w:rsidRPr="003263F4" w:rsidTr="003263F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3263F4">
              <w:rPr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263F4" w:rsidRPr="003263F4" w:rsidRDefault="003263F4" w:rsidP="003263F4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3263F4">
              <w:rPr>
                <w:kern w:val="0"/>
                <w:sz w:val="22"/>
                <w:szCs w:val="20"/>
                <w:lang w:val="en-GB"/>
              </w:rPr>
              <w:t>X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3263F4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3263F4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  <w:bookmarkStart w:id="0" w:name="_GoBack"/>
            <w:bookmarkEnd w:id="0"/>
          </w:p>
        </w:tc>
      </w:tr>
    </w:tbl>
    <w:p w:rsidR="00E71A1C" w:rsidRPr="003263F4" w:rsidRDefault="00E71A1C">
      <w:pPr>
        <w:ind w:firstLine="420"/>
        <w:rPr>
          <w:lang w:val="en-GB"/>
        </w:rPr>
      </w:pPr>
    </w:p>
    <w:sectPr w:rsidR="00E71A1C" w:rsidRPr="00326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dvTT62f2e73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F4"/>
    <w:rsid w:val="00005CDE"/>
    <w:rsid w:val="00101CA4"/>
    <w:rsid w:val="003263F4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DD65-10F9-4D18-9050-840A22A7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2160</Characters>
  <Application>Microsoft Office Word</Application>
  <DocSecurity>0</DocSecurity>
  <Lines>60</Lines>
  <Paragraphs>50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2017-02-28T08:14:00Z</dcterms:created>
  <dcterms:modified xsi:type="dcterms:W3CDTF">2017-02-28T08:19:00Z</dcterms:modified>
</cp:coreProperties>
</file>