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A43901" w:rsidRPr="00A43901" w:rsidTr="00A439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A43901">
              <w:rPr>
                <w:rFonts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A43901" w:rsidRPr="00A43901" w:rsidTr="00A43901">
        <w:tblPrEx>
          <w:tblCellMar>
            <w:top w:w="0" w:type="dxa"/>
            <w:bottom w:w="0" w:type="dxa"/>
          </w:tblCellMar>
        </w:tblPrEx>
        <w:trPr>
          <w:trHeight w:hRule="exact" w:val="167"/>
          <w:jc w:val="center"/>
        </w:trPr>
        <w:tc>
          <w:tcPr>
            <w:tcW w:w="6443" w:type="dxa"/>
            <w:vMerge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A43901" w:rsidRPr="00A43901" w:rsidTr="00A439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434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kern w:val="0"/>
                <w:sz w:val="22"/>
                <w:szCs w:val="20"/>
                <w:lang w:val="en-GB"/>
              </w:rPr>
              <w:t>201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6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12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22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A43901" w:rsidRPr="00A43901" w:rsidTr="00A439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18"/>
                <w:szCs w:val="20"/>
                <w:lang w:val="en-GB"/>
              </w:rPr>
            </w:pPr>
            <w:r w:rsidRPr="00A43901">
              <w:rPr>
                <w:kern w:val="0"/>
                <w:sz w:val="18"/>
                <w:szCs w:val="18"/>
                <w:lang w:val="en-GB"/>
              </w:rPr>
              <w:t>(1</w:t>
            </w:r>
            <w:r w:rsidRPr="00A43901">
              <w:rPr>
                <w:rFonts w:hint="eastAsia"/>
                <w:kern w:val="0"/>
                <w:sz w:val="18"/>
                <w:szCs w:val="18"/>
                <w:lang w:val="en-GB"/>
              </w:rPr>
              <w:t>6</w:t>
            </w:r>
            <w:r w:rsidRPr="00A43901">
              <w:rPr>
                <w:kern w:val="0"/>
                <w:sz w:val="18"/>
                <w:szCs w:val="18"/>
                <w:lang w:val="en-GB"/>
              </w:rPr>
              <w:t>-7031)</w:t>
            </w:r>
          </w:p>
        </w:tc>
      </w:tr>
      <w:tr w:rsidR="00A43901" w:rsidRPr="00A43901" w:rsidTr="00A43901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kern w:val="0"/>
                <w:sz w:val="22"/>
                <w:szCs w:val="20"/>
                <w:lang w:val="en-GB"/>
              </w:rPr>
            </w:pPr>
          </w:p>
        </w:tc>
      </w:tr>
      <w:tr w:rsidR="00A43901" w:rsidRPr="00A43901" w:rsidTr="00A439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40" w:lineRule="auto"/>
              <w:ind w:firstLineChars="0" w:firstLine="0"/>
              <w:jc w:val="left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A43901" w:rsidRPr="00A43901" w:rsidRDefault="00A43901" w:rsidP="00A43901">
            <w:pPr>
              <w:widowControl/>
              <w:tabs>
                <w:tab w:val="left" w:pos="962"/>
                <w:tab w:val="center" w:pos="4513"/>
                <w:tab w:val="right" w:pos="9027"/>
              </w:tabs>
              <w:spacing w:line="240" w:lineRule="auto"/>
              <w:ind w:firstLineChars="0" w:firstLine="0"/>
              <w:jc w:val="left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A43901" w:rsidRPr="00A43901" w:rsidRDefault="00A43901" w:rsidP="00A439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A43901" w:rsidRPr="00A43901" w:rsidRDefault="00A43901" w:rsidP="00A439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rFonts w:hint="eastAsia"/>
          <w:b/>
          <w:caps/>
          <w:kern w:val="28"/>
          <w:sz w:val="30"/>
          <w:szCs w:val="20"/>
          <w:lang w:val="en-GB"/>
        </w:rPr>
      </w:pPr>
      <w:r w:rsidRPr="00A43901">
        <w:rPr>
          <w:rFonts w:hint="eastAsia"/>
          <w:b/>
          <w:caps/>
          <w:kern w:val="28"/>
          <w:sz w:val="30"/>
          <w:szCs w:val="20"/>
          <w:lang w:val="en-GB"/>
        </w:rPr>
        <w:t>通</w:t>
      </w:r>
      <w:r w:rsidRPr="00A43901">
        <w:rPr>
          <w:rFonts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A43901">
        <w:rPr>
          <w:rFonts w:hint="eastAsia"/>
          <w:b/>
          <w:caps/>
          <w:kern w:val="28"/>
          <w:sz w:val="30"/>
          <w:szCs w:val="20"/>
          <w:lang w:val="en-GB"/>
        </w:rPr>
        <w:t>报</w:t>
      </w:r>
    </w:p>
    <w:p w:rsidR="00A43901" w:rsidRPr="00A43901" w:rsidRDefault="00A43901" w:rsidP="00A439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p w:rsidR="00A43901" w:rsidRPr="00A43901" w:rsidRDefault="00A43901" w:rsidP="00A439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  <w:r w:rsidRPr="00A43901">
        <w:rPr>
          <w:rFonts w:hint="eastAsia"/>
          <w:kern w:val="0"/>
          <w:sz w:val="22"/>
          <w:szCs w:val="20"/>
          <w:lang w:val="en-GB"/>
        </w:rPr>
        <w:t>以下通报根据</w:t>
      </w:r>
      <w:r w:rsidRPr="00A43901">
        <w:rPr>
          <w:rFonts w:hint="eastAsia"/>
          <w:kern w:val="0"/>
          <w:sz w:val="22"/>
          <w:szCs w:val="20"/>
          <w:lang w:val="en-GB"/>
        </w:rPr>
        <w:t>TBT</w:t>
      </w:r>
      <w:r w:rsidRPr="00A43901">
        <w:rPr>
          <w:rFonts w:hint="eastAsia"/>
          <w:kern w:val="0"/>
          <w:sz w:val="22"/>
          <w:szCs w:val="20"/>
          <w:lang w:val="en-GB"/>
        </w:rPr>
        <w:t>协定第</w:t>
      </w:r>
      <w:r w:rsidRPr="00A43901">
        <w:rPr>
          <w:kern w:val="0"/>
          <w:sz w:val="22"/>
          <w:szCs w:val="20"/>
          <w:lang w:val="en-GB"/>
        </w:rPr>
        <w:t>10.6</w:t>
      </w:r>
      <w:r w:rsidRPr="00A43901">
        <w:rPr>
          <w:rFonts w:hint="eastAsia"/>
          <w:kern w:val="0"/>
          <w:sz w:val="22"/>
          <w:szCs w:val="20"/>
          <w:lang w:val="en-GB"/>
        </w:rPr>
        <w:t xml:space="preserve"> </w:t>
      </w:r>
      <w:r w:rsidRPr="00A43901">
        <w:rPr>
          <w:rFonts w:hint="eastAsia"/>
          <w:kern w:val="0"/>
          <w:sz w:val="22"/>
          <w:szCs w:val="20"/>
          <w:lang w:val="en-GB"/>
        </w:rPr>
        <w:t>条分发</w:t>
      </w:r>
    </w:p>
    <w:p w:rsidR="00A43901" w:rsidRPr="00A43901" w:rsidRDefault="00A43901" w:rsidP="00A43901">
      <w:pPr>
        <w:widowControl/>
        <w:tabs>
          <w:tab w:val="left" w:pos="720"/>
        </w:tabs>
        <w:adjustRightInd/>
        <w:snapToGrid/>
        <w:spacing w:line="240" w:lineRule="auto"/>
        <w:ind w:firstLineChars="0" w:firstLine="0"/>
        <w:jc w:val="center"/>
        <w:rPr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3761"/>
        <w:gridCol w:w="3908"/>
      </w:tblGrid>
      <w:tr w:rsidR="00A43901" w:rsidRPr="00A43901" w:rsidTr="00A43901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A43901">
              <w:rPr>
                <w:rFonts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7.2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A43901">
              <w:rPr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A43901">
                <w:rPr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kern w:val="0"/>
                <w:sz w:val="22"/>
                <w:szCs w:val="20"/>
                <w:lang w:val="en-GB"/>
              </w:rPr>
              <w:t xml:space="preserve">  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A43901">
              <w:rPr>
                <w:kern w:val="0"/>
                <w:sz w:val="22"/>
                <w:szCs w:val="20"/>
                <w:lang w:val="en-GB"/>
              </w:rPr>
              <w:t xml:space="preserve">  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ICS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A43901">
              <w:rPr>
                <w:kern w:val="0"/>
                <w:sz w:val="22"/>
                <w:szCs w:val="20"/>
                <w:lang w:val="en-GB"/>
              </w:rPr>
              <w:t xml:space="preserve"> 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粗妥尔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油（杀虫剂活性物质）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A4390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A4390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A4390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A4390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A4390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A43901">
              <w:rPr>
                <w:rFonts w:ascii="CG Times" w:hAnsi="CG Times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A43901">
              <w:rPr>
                <w:rFonts w:ascii="CG Times" w:hAnsi="CG Times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A43901">
              <w:rPr>
                <w:rFonts w:ascii="CG Times" w:hAnsi="CG Times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欧盟委员会法规实施细则草案，不继续批准活性物质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嘧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苯胺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磺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隆，依照欧洲议会和理事会关于植物保护产品上市的法规</w:t>
            </w:r>
            <w:r w:rsidRPr="00A43901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（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4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页，英语）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本欧盟委员会法规实施细则草案规定不继续批准活性物质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嘧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苯胺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磺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隆。不批准是基于关于植物保护产品上市的指令</w:t>
            </w:r>
            <w:r w:rsidRPr="00A43901">
              <w:rPr>
                <w:kern w:val="0"/>
                <w:sz w:val="22"/>
                <w:szCs w:val="20"/>
                <w:lang w:val="en-GB"/>
              </w:rPr>
              <w:t>91/414/EEC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第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5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和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6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条及关于制定新活性物质评估细则的法规</w:t>
            </w:r>
            <w:r w:rsidRPr="00A43901">
              <w:rPr>
                <w:kern w:val="0"/>
                <w:sz w:val="22"/>
                <w:szCs w:val="20"/>
                <w:lang w:val="en-GB"/>
              </w:rPr>
              <w:t>(EU) No 188/2011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和法规</w:t>
            </w:r>
            <w:r w:rsidRPr="00A43901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第</w:t>
            </w:r>
            <w:r w:rsidRPr="00A43901">
              <w:rPr>
                <w:kern w:val="0"/>
                <w:sz w:val="22"/>
                <w:szCs w:val="20"/>
                <w:lang w:val="en-GB"/>
              </w:rPr>
              <w:t>80(1)(a)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条过渡规定及撤销指令</w:t>
            </w:r>
            <w:r w:rsidRPr="00A43901">
              <w:rPr>
                <w:kern w:val="0"/>
                <w:sz w:val="22"/>
                <w:szCs w:val="20"/>
                <w:lang w:val="en-GB"/>
              </w:rPr>
              <w:t>91/414/EEC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作出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的新活性物质评估。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本决议仅涉及该物质的上市，不影响杀虫剂最大残留（</w:t>
            </w:r>
            <w:r w:rsidRPr="00A43901">
              <w:rPr>
                <w:kern w:val="0"/>
                <w:sz w:val="22"/>
                <w:szCs w:val="20"/>
                <w:lang w:val="en-GB"/>
              </w:rPr>
              <w:t>MRLs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）。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保护人类健康安全；保护动植物生命健康；保护环境。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对于依照法规</w:t>
            </w:r>
            <w:r w:rsidRPr="00A43901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（涉及植物保护产品上市）核准的活性物质，必须证明该物质对人类健康、动物健康或环境无害。关于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嘧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苯胺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磺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隆，对人类健康、动物健康或环境的影响已经依照指令</w:t>
            </w:r>
            <w:r w:rsidRPr="00A43901">
              <w:rPr>
                <w:kern w:val="0"/>
                <w:sz w:val="22"/>
                <w:szCs w:val="20"/>
                <w:lang w:val="en-GB"/>
              </w:rPr>
              <w:t>91/414/EEC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第</w:t>
            </w:r>
            <w:r w:rsidRPr="00A43901">
              <w:rPr>
                <w:kern w:val="0"/>
                <w:sz w:val="22"/>
                <w:szCs w:val="20"/>
                <w:lang w:val="en-GB"/>
              </w:rPr>
              <w:t xml:space="preserve">6(2) 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和</w:t>
            </w:r>
            <w:r w:rsidRPr="00A43901">
              <w:rPr>
                <w:kern w:val="0"/>
                <w:sz w:val="22"/>
                <w:szCs w:val="20"/>
                <w:lang w:val="en-GB"/>
              </w:rPr>
              <w:t xml:space="preserve"> (4)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条的规定对申请人提出的用途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作出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评估。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在该物质的评估和同业评审过程中，确定了一些未完成的关注问题和领域。这些在欧洲食品安全局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(EFSA)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的结论中做出详细说明；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EFSA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的可用信息确定，对消费者、除微生物和水生生物以外的土栖生物的风险评估不能完成。此外，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EFSA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确定地下水接触评估问题不能完成。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这些问题意味着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嘧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苯胺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磺隆不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符合法规</w:t>
            </w:r>
            <w:r w:rsidRPr="00A43901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规定的核准标准，目前不能核准。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lastRenderedPageBreak/>
              <w:t>允许成员国对该物质不超过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3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年的临时授权。由于所有此类授权已到期，不必提供额外期限，撤销包含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嘧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苯胺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磺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隆的植物保护产品授权。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lastRenderedPageBreak/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A43901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2009</w:t>
            </w:r>
            <w:r w:rsidRPr="00A43901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A43901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10</w:t>
            </w:r>
            <w:r w:rsidRPr="00A43901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A43901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21</w:t>
            </w:r>
            <w:r w:rsidRPr="00A43901">
              <w:rPr>
                <w:rFonts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欧洲议会和理事会法规</w:t>
            </w:r>
            <w:r w:rsidRPr="00A43901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关于植物保护产品上市及撤销理事会指令</w:t>
            </w:r>
            <w:r w:rsidRPr="00A43901">
              <w:rPr>
                <w:kern w:val="0"/>
                <w:sz w:val="22"/>
                <w:szCs w:val="20"/>
                <w:lang w:val="en-GB"/>
              </w:rPr>
              <w:t xml:space="preserve">79/117/EEC 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和</w:t>
            </w:r>
            <w:r w:rsidRPr="00A43901">
              <w:rPr>
                <w:kern w:val="0"/>
                <w:sz w:val="22"/>
                <w:szCs w:val="20"/>
                <w:lang w:val="en-GB"/>
              </w:rPr>
              <w:t xml:space="preserve"> 91/414/EEC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：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kern w:val="0"/>
                <w:sz w:val="22"/>
                <w:szCs w:val="20"/>
                <w:lang w:val="en-GB"/>
              </w:rPr>
              <w:t>http://eur-lex.europa.eu/legal-content/EN/TXT/PDF/?uri=CELEX:32009R1107&amp;qid=1437730988988&amp;from=EN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2011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5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25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日欧盟委员会法规实施细则</w:t>
            </w:r>
            <w:r w:rsidRPr="00A43901">
              <w:rPr>
                <w:spacing w:val="-2"/>
                <w:kern w:val="0"/>
                <w:sz w:val="22"/>
                <w:szCs w:val="20"/>
                <w:lang w:val="en-GB"/>
              </w:rPr>
              <w:t>(EU) No 540/2011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执行欧洲议会和理事会</w:t>
            </w:r>
            <w:bookmarkStart w:id="0" w:name="_GoBack"/>
            <w:bookmarkEnd w:id="0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法规</w:t>
            </w:r>
            <w:r w:rsidRPr="00A43901">
              <w:rPr>
                <w:kern w:val="0"/>
                <w:sz w:val="22"/>
                <w:szCs w:val="20"/>
                <w:lang w:val="en-GB"/>
              </w:rPr>
              <w:t>(EC) No 1107/2009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关于批准的活性物质清单</w:t>
            </w:r>
            <w:r w:rsidRPr="00A43901">
              <w:rPr>
                <w:kern w:val="0"/>
                <w:sz w:val="22"/>
                <w:szCs w:val="20"/>
                <w:lang w:val="en-GB"/>
              </w:rPr>
              <w:t>(OJ L 153, 11.6.2011, p. 1–186)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：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kern w:val="0"/>
                <w:sz w:val="22"/>
                <w:szCs w:val="20"/>
                <w:lang w:val="en-GB"/>
              </w:rPr>
              <w:t>http://eur-lex.europa.eu/legal-content/EN/TXT/?qid=1442928512004&amp;uri=CELEX:32011R0540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2012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年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7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月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13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日欧盟委员会法规实施细则</w:t>
            </w:r>
            <w:r w:rsidRPr="00A43901">
              <w:rPr>
                <w:kern w:val="0"/>
                <w:sz w:val="22"/>
                <w:szCs w:val="20"/>
                <w:lang w:val="en-GB"/>
              </w:rPr>
              <w:t>(EU) No 637/2012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修订欧盟委员会法规实施细则</w:t>
            </w:r>
            <w:r w:rsidRPr="00A43901">
              <w:rPr>
                <w:spacing w:val="-2"/>
                <w:kern w:val="0"/>
                <w:sz w:val="22"/>
                <w:szCs w:val="20"/>
                <w:lang w:val="en-GB"/>
              </w:rPr>
              <w:t>(EU) No 540/2011</w:t>
            </w:r>
            <w:r w:rsidRPr="00A43901">
              <w:rPr>
                <w:rFonts w:hint="eastAsia"/>
                <w:spacing w:val="-2"/>
                <w:kern w:val="0"/>
                <w:sz w:val="22"/>
                <w:szCs w:val="20"/>
                <w:lang w:val="en-GB"/>
              </w:rPr>
              <w:t>关于活性物质硫酸铁、动物或植物源驱虫剂</w:t>
            </w:r>
            <w:r w:rsidRPr="00A43901">
              <w:rPr>
                <w:rFonts w:hint="eastAsia"/>
                <w:spacing w:val="-2"/>
                <w:kern w:val="0"/>
                <w:sz w:val="22"/>
                <w:szCs w:val="20"/>
                <w:lang w:val="en-GB"/>
              </w:rPr>
              <w:t>/</w:t>
            </w:r>
            <w:proofErr w:type="gramStart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粗妥尔</w:t>
            </w:r>
            <w:proofErr w:type="gramEnd"/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油（</w:t>
            </w:r>
            <w:r w:rsidRPr="00A43901">
              <w:rPr>
                <w:color w:val="444444"/>
                <w:kern w:val="0"/>
                <w:sz w:val="22"/>
                <w:szCs w:val="20"/>
                <w:lang w:val="en-GB"/>
              </w:rPr>
              <w:t>OJ L 186, 14.7.2012, p. 20?24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）：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szCs w:val="20"/>
                <w:lang w:val="en-GB"/>
              </w:rPr>
            </w:pPr>
            <w:r w:rsidRPr="00A43901">
              <w:rPr>
                <w:spacing w:val="-2"/>
                <w:kern w:val="0"/>
                <w:sz w:val="22"/>
                <w:szCs w:val="20"/>
                <w:lang w:val="en-GB"/>
              </w:rPr>
              <w:t xml:space="preserve">http://eur-lex.europa.eu/legal-content/EN/TXT/PDF/?uri=CELEX:32012R0637&amp;from=EN  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3761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spacing w:val="-2"/>
                <w:kern w:val="0"/>
                <w:sz w:val="22"/>
                <w:lang w:val="en-GB"/>
              </w:rPr>
              <w:t>2017</w:t>
            </w:r>
            <w:r w:rsidRPr="00A43901">
              <w:rPr>
                <w:rFonts w:hint="eastAsia"/>
                <w:spacing w:val="-2"/>
                <w:kern w:val="0"/>
                <w:sz w:val="22"/>
                <w:lang w:val="en-GB"/>
              </w:rPr>
              <w:t>年</w:t>
            </w:r>
            <w:r w:rsidRPr="00A43901">
              <w:rPr>
                <w:rFonts w:hint="eastAsia"/>
                <w:spacing w:val="-2"/>
                <w:kern w:val="0"/>
                <w:sz w:val="22"/>
                <w:lang w:val="en-GB"/>
              </w:rPr>
              <w:t>2</w:t>
            </w:r>
            <w:r w:rsidRPr="00A43901">
              <w:rPr>
                <w:rFonts w:hint="eastAsia"/>
                <w:spacing w:val="-2"/>
                <w:kern w:val="0"/>
                <w:sz w:val="22"/>
                <w:lang w:val="en-GB"/>
              </w:rPr>
              <w:t>季度</w:t>
            </w:r>
          </w:p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spacing w:val="-2"/>
                <w:kern w:val="0"/>
                <w:sz w:val="22"/>
                <w:lang w:val="en-GB"/>
              </w:rPr>
            </w:pPr>
            <w:r w:rsidRPr="00A43901">
              <w:rPr>
                <w:rFonts w:hint="eastAsia"/>
                <w:spacing w:val="-2"/>
                <w:kern w:val="0"/>
                <w:sz w:val="22"/>
                <w:lang w:val="en-GB"/>
              </w:rPr>
              <w:t>在欧盟官方公报上公布之后</w:t>
            </w:r>
            <w:r w:rsidRPr="00A43901">
              <w:rPr>
                <w:rFonts w:hint="eastAsia"/>
                <w:spacing w:val="-2"/>
                <w:kern w:val="0"/>
                <w:sz w:val="22"/>
                <w:lang w:val="en-GB"/>
              </w:rPr>
              <w:t>20</w:t>
            </w:r>
            <w:r w:rsidRPr="00A43901">
              <w:rPr>
                <w:rFonts w:hint="eastAsia"/>
                <w:spacing w:val="-2"/>
                <w:kern w:val="0"/>
                <w:sz w:val="22"/>
                <w:lang w:val="en-GB"/>
              </w:rPr>
              <w:t>天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>:</w:t>
            </w:r>
            <w:r w:rsidRPr="00A43901">
              <w:rPr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通报之后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60</w:t>
            </w:r>
            <w:r w:rsidRPr="00A43901">
              <w:rPr>
                <w:rFonts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A43901" w:rsidRPr="00A43901" w:rsidTr="00A43901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b/>
                <w:kern w:val="0"/>
                <w:sz w:val="22"/>
                <w:szCs w:val="20"/>
                <w:lang w:val="en-GB"/>
              </w:rPr>
            </w:pPr>
            <w:r w:rsidRPr="00A43901">
              <w:rPr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A43901" w:rsidRPr="00A43901" w:rsidRDefault="00A43901" w:rsidP="00A43901">
            <w:pPr>
              <w:widowControl/>
              <w:tabs>
                <w:tab w:val="left" w:pos="720"/>
              </w:tabs>
              <w:spacing w:line="276" w:lineRule="auto"/>
              <w:ind w:firstLineChars="0" w:firstLine="0"/>
              <w:rPr>
                <w:rFonts w:hint="eastAsia"/>
                <w:kern w:val="0"/>
                <w:sz w:val="22"/>
                <w:szCs w:val="20"/>
                <w:lang w:val="en-GB"/>
              </w:rPr>
            </w:pP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A43901">
              <w:rPr>
                <w:kern w:val="0"/>
                <w:sz w:val="22"/>
                <w:szCs w:val="20"/>
                <w:lang w:val="en-GB"/>
              </w:rPr>
              <w:t>X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A43901">
              <w:rPr>
                <w:rFonts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A43901">
              <w:rPr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E71A1C" w:rsidRPr="00A43901" w:rsidRDefault="00E71A1C">
      <w:pPr>
        <w:ind w:firstLine="420"/>
        <w:rPr>
          <w:lang w:val="en-GB"/>
        </w:rPr>
      </w:pPr>
    </w:p>
    <w:sectPr w:rsidR="00E71A1C" w:rsidRPr="00A43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01"/>
    <w:rsid w:val="00005CDE"/>
    <w:rsid w:val="00101CA4"/>
    <w:rsid w:val="007B5227"/>
    <w:rsid w:val="008F706D"/>
    <w:rsid w:val="00927B4B"/>
    <w:rsid w:val="00A43901"/>
    <w:rsid w:val="00A818EC"/>
    <w:rsid w:val="00B71B5E"/>
    <w:rsid w:val="00C57487"/>
    <w:rsid w:val="00C94A9D"/>
    <w:rsid w:val="00D12395"/>
    <w:rsid w:val="00D52561"/>
    <w:rsid w:val="00E7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01894-2CA2-47B2-A732-B4F85C9B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书稿"/>
    <w:qFormat/>
    <w:rsid w:val="00C94A9D"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aliases w:val="书稿 一级标题"/>
    <w:basedOn w:val="a"/>
    <w:next w:val="a0"/>
    <w:link w:val="1Char"/>
    <w:uiPriority w:val="1"/>
    <w:qFormat/>
    <w:rsid w:val="00005CDE"/>
    <w:pPr>
      <w:spacing w:beforeLines="50" w:before="50" w:afterLines="50" w:after="50" w:line="300" w:lineRule="auto"/>
      <w:jc w:val="center"/>
      <w:outlineLvl w:val="0"/>
    </w:pPr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2">
    <w:name w:val="heading 2"/>
    <w:aliases w:val="书稿 二级标题"/>
    <w:basedOn w:val="a"/>
    <w:link w:val="2Char"/>
    <w:uiPriority w:val="1"/>
    <w:qFormat/>
    <w:rsid w:val="00C57487"/>
    <w:pPr>
      <w:spacing w:beforeLines="50" w:before="50" w:afterLines="50" w:after="50" w:line="300" w:lineRule="auto"/>
      <w:jc w:val="center"/>
      <w:outlineLvl w:val="1"/>
    </w:pPr>
    <w:rPr>
      <w:rFonts w:ascii="楷体" w:eastAsia="黑体" w:hAnsi="楷体" w:cs="楷体"/>
      <w:bCs/>
      <w:kern w:val="0"/>
      <w:sz w:val="28"/>
      <w:szCs w:val="28"/>
      <w:lang w:eastAsia="en-US"/>
    </w:rPr>
  </w:style>
  <w:style w:type="paragraph" w:styleId="3">
    <w:name w:val="heading 3"/>
    <w:aliases w:val="标题 3 书稿 三级标题"/>
    <w:basedOn w:val="a"/>
    <w:link w:val="3Char"/>
    <w:uiPriority w:val="1"/>
    <w:qFormat/>
    <w:rsid w:val="00005CDE"/>
    <w:pPr>
      <w:spacing w:line="300" w:lineRule="auto"/>
      <w:ind w:left="120" w:right="110"/>
      <w:jc w:val="left"/>
      <w:outlineLvl w:val="2"/>
    </w:pPr>
    <w:rPr>
      <w:rFonts w:ascii="宋体" w:eastAsia="黑体" w:hAnsi="宋体" w:cs="宋体"/>
      <w:kern w:val="0"/>
      <w:sz w:val="24"/>
      <w:szCs w:val="28"/>
      <w:lang w:eastAsia="en-US"/>
    </w:rPr>
  </w:style>
  <w:style w:type="paragraph" w:styleId="4">
    <w:name w:val="heading 4"/>
    <w:aliases w:val="书稿 四级标题"/>
    <w:basedOn w:val="a"/>
    <w:link w:val="4Char"/>
    <w:uiPriority w:val="1"/>
    <w:qFormat/>
    <w:rsid w:val="007B5227"/>
    <w:pPr>
      <w:jc w:val="left"/>
      <w:outlineLvl w:val="3"/>
    </w:pPr>
    <w:rPr>
      <w:rFonts w:ascii="黑体" w:hAnsi="黑体" w:cs="黑体"/>
      <w:bCs/>
      <w:kern w:val="0"/>
      <w:szCs w:val="24"/>
      <w:lang w:eastAsia="en-US"/>
    </w:rPr>
  </w:style>
  <w:style w:type="paragraph" w:styleId="6">
    <w:name w:val="heading 6"/>
    <w:aliases w:val="书稿 六级标题"/>
    <w:link w:val="6Char"/>
    <w:uiPriority w:val="1"/>
    <w:qFormat/>
    <w:rsid w:val="008F706D"/>
    <w:pPr>
      <w:widowControl w:val="0"/>
      <w:adjustRightInd w:val="0"/>
      <w:snapToGrid w:val="0"/>
      <w:spacing w:line="360" w:lineRule="auto"/>
      <w:ind w:firstLineChars="200" w:firstLine="200"/>
      <w:outlineLvl w:val="5"/>
    </w:pPr>
    <w:rPr>
      <w:rFonts w:ascii="宋体" w:eastAsia="宋体" w:hAnsi="宋体" w:cs="宋体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标题 3 书稿 三级标题 Char"/>
    <w:basedOn w:val="a1"/>
    <w:link w:val="3"/>
    <w:uiPriority w:val="1"/>
    <w:rsid w:val="00005CDE"/>
    <w:rPr>
      <w:rFonts w:ascii="宋体" w:eastAsia="黑体" w:hAnsi="宋体" w:cs="宋体"/>
      <w:kern w:val="0"/>
      <w:sz w:val="24"/>
      <w:szCs w:val="28"/>
      <w:lang w:eastAsia="en-US"/>
    </w:rPr>
  </w:style>
  <w:style w:type="character" w:customStyle="1" w:styleId="2Char">
    <w:name w:val="标题 2 Char"/>
    <w:aliases w:val="书稿 二级标题 Char"/>
    <w:basedOn w:val="a1"/>
    <w:link w:val="2"/>
    <w:uiPriority w:val="1"/>
    <w:rsid w:val="00C57487"/>
    <w:rPr>
      <w:rFonts w:ascii="楷体" w:eastAsia="黑体" w:hAnsi="楷体" w:cs="楷体"/>
      <w:bCs/>
      <w:kern w:val="0"/>
      <w:sz w:val="28"/>
      <w:szCs w:val="28"/>
      <w:lang w:eastAsia="en-US"/>
    </w:rPr>
  </w:style>
  <w:style w:type="character" w:customStyle="1" w:styleId="1Char">
    <w:name w:val="标题 1 Char"/>
    <w:aliases w:val="书稿 一级标题 Char"/>
    <w:basedOn w:val="a1"/>
    <w:link w:val="1"/>
    <w:uiPriority w:val="1"/>
    <w:rsid w:val="00005CDE"/>
    <w:rPr>
      <w:rFonts w:ascii="黑体" w:eastAsia="黑体" w:hAnsi="黑体" w:cs="黑体"/>
      <w:bCs/>
      <w:kern w:val="0"/>
      <w:sz w:val="32"/>
      <w:szCs w:val="30"/>
      <w:lang w:eastAsia="en-US"/>
    </w:rPr>
  </w:style>
  <w:style w:type="paragraph" w:styleId="a0">
    <w:name w:val="Body Text"/>
    <w:aliases w:val="书稿正文"/>
    <w:basedOn w:val="a"/>
    <w:link w:val="Char"/>
    <w:uiPriority w:val="1"/>
    <w:qFormat/>
    <w:rsid w:val="007B5227"/>
    <w:rPr>
      <w:rFonts w:ascii="宋体" w:hAnsi="宋体" w:cs="宋体"/>
      <w:kern w:val="0"/>
      <w:szCs w:val="21"/>
      <w:lang w:eastAsia="en-US"/>
    </w:rPr>
  </w:style>
  <w:style w:type="character" w:customStyle="1" w:styleId="Char">
    <w:name w:val="正文文本 Char"/>
    <w:aliases w:val="书稿正文 Char"/>
    <w:basedOn w:val="a1"/>
    <w:link w:val="a0"/>
    <w:uiPriority w:val="1"/>
    <w:rsid w:val="007B5227"/>
    <w:rPr>
      <w:rFonts w:ascii="宋体" w:eastAsia="宋体" w:hAnsi="宋体" w:cs="宋体"/>
      <w:kern w:val="0"/>
      <w:szCs w:val="21"/>
      <w:lang w:eastAsia="en-US"/>
    </w:rPr>
  </w:style>
  <w:style w:type="character" w:customStyle="1" w:styleId="4Char">
    <w:name w:val="标题 4 Char"/>
    <w:aliases w:val="书稿 四级标题 Char"/>
    <w:basedOn w:val="a1"/>
    <w:link w:val="4"/>
    <w:uiPriority w:val="1"/>
    <w:rsid w:val="007B5227"/>
    <w:rPr>
      <w:rFonts w:ascii="黑体" w:eastAsia="宋体" w:hAnsi="黑体" w:cs="黑体"/>
      <w:bCs/>
      <w:kern w:val="0"/>
      <w:szCs w:val="24"/>
      <w:lang w:eastAsia="en-US"/>
    </w:rPr>
  </w:style>
  <w:style w:type="character" w:customStyle="1" w:styleId="6Char">
    <w:name w:val="标题 6 Char"/>
    <w:aliases w:val="书稿 六级标题 Char"/>
    <w:basedOn w:val="a1"/>
    <w:link w:val="6"/>
    <w:uiPriority w:val="1"/>
    <w:rsid w:val="008F706D"/>
    <w:rPr>
      <w:rFonts w:ascii="宋体" w:eastAsia="宋体" w:hAnsi="宋体" w:cs="宋体"/>
      <w:bCs/>
    </w:rPr>
  </w:style>
  <w:style w:type="table" w:customStyle="1" w:styleId="a4">
    <w:name w:val="通报表格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customStyle="1" w:styleId="a5">
    <w:name w:val="通报表格新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name w:val="通报中文"/>
    <w:basedOn w:val="a2"/>
    <w:uiPriority w:val="9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  <w:style w:type="table" w:styleId="a7">
    <w:name w:val="Table Grid"/>
    <w:aliases w:val="中文通报表格"/>
    <w:basedOn w:val="a2"/>
    <w:uiPriority w:val="39"/>
    <w:rsid w:val="00D12395"/>
    <w:pPr>
      <w:adjustRightInd w:val="0"/>
      <w:snapToGrid w:val="0"/>
      <w:spacing w:line="276" w:lineRule="auto"/>
    </w:pPr>
    <w:rPr>
      <w:rFonts w:ascii="Calibri" w:eastAsia="宋体" w:hAnsi="Calibri" w:cs="Times New Roman"/>
      <w:kern w:val="0"/>
      <w:szCs w:val="20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1103</Characters>
  <Application>Microsoft Office Word</Application>
  <DocSecurity>0</DocSecurity>
  <Lines>55</Lines>
  <Paragraphs>60</Paragraphs>
  <ScaleCrop>false</ScaleCrop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2017-01-20T08:54:00Z</dcterms:created>
  <dcterms:modified xsi:type="dcterms:W3CDTF">2017-01-20T08:55:00Z</dcterms:modified>
</cp:coreProperties>
</file>