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D04EFD" w:rsidRPr="00D04EFD" w:rsidTr="00D04EFD">
        <w:tblPrEx>
          <w:tblCellMar>
            <w:top w:w="0" w:type="dxa"/>
            <w:bottom w:w="0" w:type="dxa"/>
          </w:tblCellMar>
        </w:tblPrEx>
        <w:trPr>
          <w:jc w:val="center"/>
        </w:trPr>
        <w:tc>
          <w:tcPr>
            <w:tcW w:w="6443" w:type="dxa"/>
            <w:vMerge w:val="restart"/>
          </w:tcPr>
          <w:p w:rsidR="00D04EFD" w:rsidRPr="00D04EFD" w:rsidRDefault="00D04EFD" w:rsidP="00D04EFD">
            <w:pPr>
              <w:widowControl/>
              <w:tabs>
                <w:tab w:val="left" w:pos="720"/>
              </w:tabs>
              <w:adjustRightInd/>
              <w:snapToGrid/>
              <w:ind w:firstLineChars="0" w:firstLine="0"/>
              <w:jc w:val="left"/>
              <w:rPr>
                <w:rFonts w:hint="eastAsia"/>
                <w:b/>
                <w:smallCaps/>
                <w:kern w:val="0"/>
                <w:sz w:val="44"/>
                <w:szCs w:val="20"/>
                <w:lang w:val="en-GB"/>
              </w:rPr>
            </w:pPr>
            <w:r w:rsidRPr="00D04EFD">
              <w:rPr>
                <w:rFonts w:hint="eastAsia"/>
                <w:b/>
                <w:smallCaps/>
                <w:kern w:val="0"/>
                <w:sz w:val="44"/>
                <w:szCs w:val="20"/>
                <w:lang w:val="en-GB"/>
              </w:rPr>
              <w:t>世界贸易组织</w:t>
            </w:r>
          </w:p>
          <w:p w:rsidR="00D04EFD" w:rsidRPr="00D04EFD" w:rsidRDefault="00D04EFD" w:rsidP="00D04EFD">
            <w:pPr>
              <w:widowControl/>
              <w:tabs>
                <w:tab w:val="left" w:pos="720"/>
              </w:tabs>
              <w:adjustRightInd/>
              <w:snapToGrid/>
              <w:spacing w:line="240" w:lineRule="auto"/>
              <w:ind w:firstLineChars="0" w:firstLine="0"/>
              <w:jc w:val="left"/>
              <w:rPr>
                <w:b/>
                <w:smallCaps/>
                <w:kern w:val="0"/>
                <w:sz w:val="18"/>
                <w:szCs w:val="20"/>
                <w:lang w:val="en-GB"/>
              </w:rPr>
            </w:pPr>
          </w:p>
        </w:tc>
        <w:tc>
          <w:tcPr>
            <w:tcW w:w="2629" w:type="dxa"/>
          </w:tcPr>
          <w:p w:rsidR="00D04EFD" w:rsidRPr="00D04EFD" w:rsidRDefault="00D04EFD" w:rsidP="00D04EFD">
            <w:pPr>
              <w:widowControl/>
              <w:tabs>
                <w:tab w:val="left" w:pos="720"/>
              </w:tabs>
              <w:adjustRightInd/>
              <w:snapToGrid/>
              <w:spacing w:line="240" w:lineRule="auto"/>
              <w:ind w:firstLineChars="0" w:firstLine="0"/>
              <w:jc w:val="left"/>
              <w:rPr>
                <w:kern w:val="0"/>
                <w:sz w:val="22"/>
                <w:szCs w:val="20"/>
                <w:u w:val="single"/>
                <w:lang w:val="en-GB"/>
              </w:rPr>
            </w:pPr>
          </w:p>
        </w:tc>
      </w:tr>
      <w:tr w:rsidR="00D04EFD" w:rsidRPr="00D04EFD" w:rsidTr="00D04EFD">
        <w:tblPrEx>
          <w:tblCellMar>
            <w:top w:w="0" w:type="dxa"/>
            <w:bottom w:w="0" w:type="dxa"/>
          </w:tblCellMar>
        </w:tblPrEx>
        <w:trPr>
          <w:trHeight w:hRule="exact" w:val="167"/>
          <w:jc w:val="center"/>
        </w:trPr>
        <w:tc>
          <w:tcPr>
            <w:tcW w:w="6443" w:type="dxa"/>
            <w:vMerge/>
          </w:tcPr>
          <w:p w:rsidR="00D04EFD" w:rsidRPr="00D04EFD" w:rsidRDefault="00D04EFD" w:rsidP="00D04EFD">
            <w:pPr>
              <w:widowControl/>
              <w:tabs>
                <w:tab w:val="left" w:pos="720"/>
              </w:tabs>
              <w:adjustRightInd/>
              <w:snapToGrid/>
              <w:spacing w:before="240" w:line="380" w:lineRule="exact"/>
              <w:ind w:firstLineChars="0" w:firstLine="0"/>
              <w:jc w:val="left"/>
              <w:rPr>
                <w:kern w:val="0"/>
                <w:sz w:val="22"/>
                <w:szCs w:val="20"/>
                <w:lang w:val="en-GB"/>
              </w:rPr>
            </w:pPr>
          </w:p>
        </w:tc>
        <w:tc>
          <w:tcPr>
            <w:tcW w:w="2629" w:type="dxa"/>
          </w:tcPr>
          <w:p w:rsidR="00D04EFD" w:rsidRPr="00D04EFD" w:rsidRDefault="00D04EFD" w:rsidP="00D04EFD">
            <w:pPr>
              <w:widowControl/>
              <w:tabs>
                <w:tab w:val="left" w:pos="720"/>
              </w:tabs>
              <w:adjustRightInd/>
              <w:snapToGrid/>
              <w:spacing w:line="240" w:lineRule="auto"/>
              <w:ind w:firstLineChars="0" w:firstLine="0"/>
              <w:jc w:val="left"/>
              <w:rPr>
                <w:kern w:val="0"/>
                <w:sz w:val="22"/>
                <w:szCs w:val="20"/>
                <w:lang w:val="en-GB"/>
              </w:rPr>
            </w:pPr>
          </w:p>
        </w:tc>
      </w:tr>
      <w:tr w:rsidR="00D04EFD" w:rsidRPr="00D04EFD" w:rsidTr="00D04EFD">
        <w:tblPrEx>
          <w:tblCellMar>
            <w:top w:w="0" w:type="dxa"/>
            <w:bottom w:w="0" w:type="dxa"/>
          </w:tblCellMar>
        </w:tblPrEx>
        <w:trPr>
          <w:jc w:val="center"/>
        </w:trPr>
        <w:tc>
          <w:tcPr>
            <w:tcW w:w="6443" w:type="dxa"/>
            <w:vMerge/>
          </w:tcPr>
          <w:p w:rsidR="00D04EFD" w:rsidRPr="00D04EFD" w:rsidRDefault="00D04EFD" w:rsidP="00D04EFD">
            <w:pPr>
              <w:widowControl/>
              <w:tabs>
                <w:tab w:val="left" w:pos="720"/>
              </w:tabs>
              <w:adjustRightInd/>
              <w:snapToGrid/>
              <w:spacing w:before="240" w:line="380" w:lineRule="exact"/>
              <w:ind w:firstLineChars="0" w:firstLine="0"/>
              <w:jc w:val="left"/>
              <w:rPr>
                <w:smallCaps/>
                <w:kern w:val="0"/>
                <w:sz w:val="44"/>
                <w:szCs w:val="20"/>
                <w:lang w:val="en-GB"/>
              </w:rPr>
            </w:pPr>
          </w:p>
        </w:tc>
        <w:tc>
          <w:tcPr>
            <w:tcW w:w="2629" w:type="dxa"/>
          </w:tcPr>
          <w:p w:rsidR="00D04EFD" w:rsidRPr="00D04EFD" w:rsidRDefault="00D04EFD" w:rsidP="00D04EFD">
            <w:pPr>
              <w:widowControl/>
              <w:tabs>
                <w:tab w:val="left" w:pos="720"/>
              </w:tabs>
              <w:adjustRightInd/>
              <w:snapToGrid/>
              <w:spacing w:line="240" w:lineRule="auto"/>
              <w:ind w:firstLineChars="0" w:firstLine="0"/>
              <w:jc w:val="left"/>
              <w:rPr>
                <w:rFonts w:hint="eastAsia"/>
                <w:b/>
                <w:kern w:val="0"/>
                <w:sz w:val="22"/>
                <w:szCs w:val="20"/>
                <w:lang w:val="en-GB"/>
              </w:rPr>
            </w:pPr>
            <w:r w:rsidRPr="00D04EFD">
              <w:rPr>
                <w:b/>
                <w:kern w:val="0"/>
                <w:sz w:val="22"/>
                <w:szCs w:val="20"/>
                <w:lang w:val="en-GB"/>
              </w:rPr>
              <w:t>G/TBT/N/EU/</w:t>
            </w:r>
            <w:r w:rsidRPr="00D04EFD">
              <w:rPr>
                <w:rFonts w:hint="eastAsia"/>
                <w:b/>
                <w:kern w:val="0"/>
                <w:sz w:val="22"/>
                <w:szCs w:val="20"/>
                <w:lang w:val="en-GB"/>
              </w:rPr>
              <w:t>431</w:t>
            </w:r>
          </w:p>
          <w:p w:rsidR="00D04EFD" w:rsidRPr="00D04EFD" w:rsidRDefault="00D04EFD" w:rsidP="00D04EFD">
            <w:pPr>
              <w:widowControl/>
              <w:tabs>
                <w:tab w:val="left" w:pos="720"/>
              </w:tabs>
              <w:adjustRightInd/>
              <w:snapToGrid/>
              <w:spacing w:line="240" w:lineRule="auto"/>
              <w:ind w:firstLineChars="0" w:firstLine="0"/>
              <w:jc w:val="left"/>
              <w:rPr>
                <w:rFonts w:hint="eastAsia"/>
                <w:kern w:val="0"/>
                <w:sz w:val="22"/>
                <w:szCs w:val="20"/>
                <w:lang w:val="en-GB"/>
              </w:rPr>
            </w:pPr>
            <w:r w:rsidRPr="00D04EFD">
              <w:rPr>
                <w:kern w:val="0"/>
                <w:sz w:val="22"/>
                <w:szCs w:val="20"/>
                <w:lang w:val="en-GB"/>
              </w:rPr>
              <w:t>201</w:t>
            </w:r>
            <w:r w:rsidRPr="00D04EFD">
              <w:rPr>
                <w:rFonts w:hint="eastAsia"/>
                <w:kern w:val="0"/>
                <w:sz w:val="22"/>
                <w:szCs w:val="20"/>
                <w:lang w:val="en-GB"/>
              </w:rPr>
              <w:t>6</w:t>
            </w:r>
            <w:r w:rsidRPr="00D04EFD">
              <w:rPr>
                <w:rFonts w:hint="eastAsia"/>
                <w:kern w:val="0"/>
                <w:sz w:val="22"/>
                <w:szCs w:val="20"/>
                <w:lang w:val="en-GB"/>
              </w:rPr>
              <w:t>年</w:t>
            </w:r>
            <w:r w:rsidRPr="00D04EFD">
              <w:rPr>
                <w:rFonts w:hint="eastAsia"/>
                <w:kern w:val="0"/>
                <w:sz w:val="22"/>
                <w:szCs w:val="20"/>
                <w:lang w:val="en-GB"/>
              </w:rPr>
              <w:t>12</w:t>
            </w:r>
            <w:r w:rsidRPr="00D04EFD">
              <w:rPr>
                <w:rFonts w:hint="eastAsia"/>
                <w:kern w:val="0"/>
                <w:sz w:val="22"/>
                <w:szCs w:val="20"/>
                <w:lang w:val="en-GB"/>
              </w:rPr>
              <w:t>月</w:t>
            </w:r>
            <w:r w:rsidRPr="00D04EFD">
              <w:rPr>
                <w:rFonts w:hint="eastAsia"/>
                <w:kern w:val="0"/>
                <w:sz w:val="22"/>
                <w:szCs w:val="20"/>
                <w:lang w:val="en-GB"/>
              </w:rPr>
              <w:t>15</w:t>
            </w:r>
            <w:r w:rsidRPr="00D04EFD">
              <w:rPr>
                <w:rFonts w:hint="eastAsia"/>
                <w:kern w:val="0"/>
                <w:sz w:val="22"/>
                <w:szCs w:val="20"/>
                <w:lang w:val="en-GB"/>
              </w:rPr>
              <w:t>日</w:t>
            </w:r>
          </w:p>
        </w:tc>
      </w:tr>
      <w:tr w:rsidR="00D04EFD" w:rsidRPr="00D04EFD" w:rsidTr="00D04EFD">
        <w:tblPrEx>
          <w:tblCellMar>
            <w:top w:w="0" w:type="dxa"/>
            <w:bottom w:w="0" w:type="dxa"/>
          </w:tblCellMar>
        </w:tblPrEx>
        <w:trPr>
          <w:jc w:val="center"/>
        </w:trPr>
        <w:tc>
          <w:tcPr>
            <w:tcW w:w="6443" w:type="dxa"/>
            <w:tcBorders>
              <w:bottom w:val="single" w:sz="4" w:space="0" w:color="auto"/>
            </w:tcBorders>
          </w:tcPr>
          <w:p w:rsidR="00D04EFD" w:rsidRPr="00D04EFD" w:rsidRDefault="00D04EFD" w:rsidP="00D04EFD">
            <w:pPr>
              <w:widowControl/>
              <w:tabs>
                <w:tab w:val="left" w:pos="720"/>
              </w:tabs>
              <w:adjustRightInd/>
              <w:snapToGrid/>
              <w:spacing w:line="240" w:lineRule="auto"/>
              <w:ind w:firstLineChars="0" w:firstLine="0"/>
              <w:jc w:val="left"/>
              <w:rPr>
                <w:kern w:val="0"/>
                <w:sz w:val="22"/>
                <w:szCs w:val="20"/>
                <w:lang w:val="en-GB"/>
              </w:rPr>
            </w:pPr>
          </w:p>
        </w:tc>
        <w:tc>
          <w:tcPr>
            <w:tcW w:w="2629" w:type="dxa"/>
            <w:tcBorders>
              <w:bottom w:val="single" w:sz="4" w:space="0" w:color="auto"/>
            </w:tcBorders>
          </w:tcPr>
          <w:p w:rsidR="00D04EFD" w:rsidRPr="00D04EFD" w:rsidRDefault="00D04EFD" w:rsidP="00D04EFD">
            <w:pPr>
              <w:widowControl/>
              <w:tabs>
                <w:tab w:val="left" w:pos="720"/>
              </w:tabs>
              <w:adjustRightInd/>
              <w:snapToGrid/>
              <w:spacing w:line="240" w:lineRule="auto"/>
              <w:ind w:firstLineChars="0" w:firstLine="0"/>
              <w:jc w:val="left"/>
              <w:rPr>
                <w:kern w:val="0"/>
                <w:sz w:val="18"/>
                <w:szCs w:val="20"/>
                <w:lang w:val="en-GB"/>
              </w:rPr>
            </w:pPr>
            <w:r w:rsidRPr="00D04EFD">
              <w:rPr>
                <w:kern w:val="0"/>
                <w:sz w:val="18"/>
                <w:szCs w:val="18"/>
                <w:lang w:val="en-GB"/>
              </w:rPr>
              <w:t>(1</w:t>
            </w:r>
            <w:r w:rsidRPr="00D04EFD">
              <w:rPr>
                <w:rFonts w:hint="eastAsia"/>
                <w:kern w:val="0"/>
                <w:sz w:val="18"/>
                <w:szCs w:val="18"/>
                <w:lang w:val="en-GB"/>
              </w:rPr>
              <w:t>6</w:t>
            </w:r>
            <w:r w:rsidRPr="00D04EFD">
              <w:rPr>
                <w:kern w:val="0"/>
                <w:sz w:val="18"/>
                <w:szCs w:val="18"/>
                <w:lang w:val="en-GB"/>
              </w:rPr>
              <w:t>-6853)</w:t>
            </w:r>
          </w:p>
        </w:tc>
      </w:tr>
      <w:tr w:rsidR="00D04EFD" w:rsidRPr="00D04EFD" w:rsidTr="00D04EFD">
        <w:tblPrEx>
          <w:tblCellMar>
            <w:top w:w="0" w:type="dxa"/>
            <w:bottom w:w="0" w:type="dxa"/>
          </w:tblCellMar>
        </w:tblPrEx>
        <w:trPr>
          <w:trHeight w:hRule="exact" w:val="160"/>
          <w:jc w:val="center"/>
        </w:trPr>
        <w:tc>
          <w:tcPr>
            <w:tcW w:w="6443" w:type="dxa"/>
          </w:tcPr>
          <w:p w:rsidR="00D04EFD" w:rsidRPr="00D04EFD" w:rsidRDefault="00D04EFD" w:rsidP="00D04EFD">
            <w:pPr>
              <w:widowControl/>
              <w:tabs>
                <w:tab w:val="left" w:pos="720"/>
              </w:tabs>
              <w:adjustRightInd/>
              <w:snapToGrid/>
              <w:spacing w:line="240" w:lineRule="auto"/>
              <w:ind w:firstLineChars="0" w:firstLine="0"/>
              <w:jc w:val="left"/>
              <w:rPr>
                <w:kern w:val="0"/>
                <w:sz w:val="22"/>
                <w:szCs w:val="20"/>
                <w:lang w:val="en-GB"/>
              </w:rPr>
            </w:pPr>
          </w:p>
        </w:tc>
        <w:tc>
          <w:tcPr>
            <w:tcW w:w="2629" w:type="dxa"/>
          </w:tcPr>
          <w:p w:rsidR="00D04EFD" w:rsidRPr="00D04EFD" w:rsidRDefault="00D04EFD" w:rsidP="00D04EFD">
            <w:pPr>
              <w:widowControl/>
              <w:tabs>
                <w:tab w:val="left" w:pos="720"/>
              </w:tabs>
              <w:adjustRightInd/>
              <w:snapToGrid/>
              <w:spacing w:line="240" w:lineRule="auto"/>
              <w:ind w:firstLineChars="0" w:firstLine="0"/>
              <w:jc w:val="left"/>
              <w:rPr>
                <w:kern w:val="0"/>
                <w:sz w:val="22"/>
                <w:szCs w:val="20"/>
                <w:lang w:val="en-GB"/>
              </w:rPr>
            </w:pPr>
          </w:p>
        </w:tc>
      </w:tr>
      <w:tr w:rsidR="00D04EFD" w:rsidRPr="00D04EFD" w:rsidTr="00D04EFD">
        <w:tblPrEx>
          <w:tblCellMar>
            <w:top w:w="0" w:type="dxa"/>
            <w:bottom w:w="0" w:type="dxa"/>
          </w:tblCellMar>
        </w:tblPrEx>
        <w:trPr>
          <w:jc w:val="center"/>
        </w:trPr>
        <w:tc>
          <w:tcPr>
            <w:tcW w:w="6443" w:type="dxa"/>
          </w:tcPr>
          <w:p w:rsidR="00D04EFD" w:rsidRPr="00D04EFD" w:rsidRDefault="00D04EFD" w:rsidP="00D04EFD">
            <w:pPr>
              <w:widowControl/>
              <w:tabs>
                <w:tab w:val="left" w:pos="720"/>
              </w:tabs>
              <w:adjustRightInd/>
              <w:snapToGrid/>
              <w:spacing w:line="240" w:lineRule="auto"/>
              <w:ind w:firstLineChars="0" w:firstLine="0"/>
              <w:jc w:val="left"/>
              <w:rPr>
                <w:rFonts w:hint="eastAsia"/>
                <w:b/>
                <w:kern w:val="0"/>
                <w:sz w:val="22"/>
                <w:szCs w:val="20"/>
                <w:lang w:val="en-GB"/>
              </w:rPr>
            </w:pPr>
            <w:r w:rsidRPr="00D04EFD">
              <w:rPr>
                <w:rFonts w:hint="eastAsia"/>
                <w:b/>
                <w:kern w:val="0"/>
                <w:sz w:val="22"/>
                <w:szCs w:val="20"/>
                <w:lang w:val="en-GB"/>
              </w:rPr>
              <w:t>贸易技术壁垒委员会</w:t>
            </w:r>
          </w:p>
        </w:tc>
        <w:tc>
          <w:tcPr>
            <w:tcW w:w="2629" w:type="dxa"/>
          </w:tcPr>
          <w:p w:rsidR="00D04EFD" w:rsidRPr="00D04EFD" w:rsidRDefault="00D04EFD" w:rsidP="00D04EFD">
            <w:pPr>
              <w:widowControl/>
              <w:tabs>
                <w:tab w:val="left" w:pos="962"/>
                <w:tab w:val="center" w:pos="4513"/>
                <w:tab w:val="right" w:pos="9027"/>
              </w:tabs>
              <w:adjustRightInd/>
              <w:snapToGrid/>
              <w:spacing w:line="240" w:lineRule="auto"/>
              <w:ind w:firstLineChars="0" w:firstLine="0"/>
              <w:jc w:val="left"/>
              <w:rPr>
                <w:rFonts w:hint="eastAsia"/>
                <w:kern w:val="0"/>
                <w:sz w:val="22"/>
                <w:szCs w:val="20"/>
                <w:lang w:val="en-GB"/>
              </w:rPr>
            </w:pPr>
            <w:r w:rsidRPr="00D04EFD">
              <w:rPr>
                <w:rFonts w:hint="eastAsia"/>
                <w:kern w:val="0"/>
                <w:sz w:val="22"/>
                <w:szCs w:val="20"/>
                <w:lang w:val="en-GB"/>
              </w:rPr>
              <w:t>原文：英语</w:t>
            </w:r>
          </w:p>
        </w:tc>
      </w:tr>
    </w:tbl>
    <w:p w:rsidR="00D04EFD" w:rsidRPr="00D04EFD" w:rsidRDefault="00D04EFD" w:rsidP="00D04EFD">
      <w:pPr>
        <w:widowControl/>
        <w:tabs>
          <w:tab w:val="left" w:pos="720"/>
        </w:tabs>
        <w:adjustRightInd/>
        <w:snapToGrid/>
        <w:spacing w:line="240" w:lineRule="auto"/>
        <w:ind w:firstLineChars="0" w:firstLine="0"/>
        <w:jc w:val="center"/>
        <w:rPr>
          <w:kern w:val="0"/>
          <w:sz w:val="22"/>
          <w:szCs w:val="20"/>
          <w:lang w:val="en-GB"/>
        </w:rPr>
      </w:pPr>
    </w:p>
    <w:p w:rsidR="00D04EFD" w:rsidRPr="00D04EFD" w:rsidRDefault="00D04EFD" w:rsidP="00D04EFD">
      <w:pPr>
        <w:widowControl/>
        <w:tabs>
          <w:tab w:val="left" w:pos="720"/>
        </w:tabs>
        <w:adjustRightInd/>
        <w:snapToGrid/>
        <w:spacing w:line="240" w:lineRule="auto"/>
        <w:ind w:firstLineChars="0" w:firstLine="0"/>
        <w:jc w:val="center"/>
        <w:rPr>
          <w:rFonts w:hint="eastAsia"/>
          <w:b/>
          <w:caps/>
          <w:kern w:val="28"/>
          <w:sz w:val="30"/>
          <w:szCs w:val="20"/>
          <w:lang w:val="en-GB"/>
        </w:rPr>
      </w:pPr>
      <w:r w:rsidRPr="00D04EFD">
        <w:rPr>
          <w:rFonts w:hint="eastAsia"/>
          <w:b/>
          <w:caps/>
          <w:kern w:val="28"/>
          <w:sz w:val="30"/>
          <w:szCs w:val="20"/>
          <w:lang w:val="en-GB"/>
        </w:rPr>
        <w:t>通</w:t>
      </w:r>
      <w:r w:rsidRPr="00D04EFD">
        <w:rPr>
          <w:rFonts w:hint="eastAsia"/>
          <w:b/>
          <w:caps/>
          <w:kern w:val="28"/>
          <w:sz w:val="30"/>
          <w:szCs w:val="20"/>
          <w:lang w:val="en-GB"/>
        </w:rPr>
        <w:t xml:space="preserve">             </w:t>
      </w:r>
      <w:r w:rsidRPr="00D04EFD">
        <w:rPr>
          <w:rFonts w:hint="eastAsia"/>
          <w:b/>
          <w:caps/>
          <w:kern w:val="28"/>
          <w:sz w:val="30"/>
          <w:szCs w:val="20"/>
          <w:lang w:val="en-GB"/>
        </w:rPr>
        <w:t>报</w:t>
      </w:r>
    </w:p>
    <w:p w:rsidR="00D04EFD" w:rsidRPr="00D04EFD" w:rsidRDefault="00D04EFD" w:rsidP="00D04EFD">
      <w:pPr>
        <w:widowControl/>
        <w:tabs>
          <w:tab w:val="left" w:pos="720"/>
        </w:tabs>
        <w:adjustRightInd/>
        <w:snapToGrid/>
        <w:spacing w:line="240" w:lineRule="auto"/>
        <w:ind w:firstLineChars="0" w:firstLine="0"/>
        <w:jc w:val="center"/>
        <w:rPr>
          <w:kern w:val="0"/>
          <w:sz w:val="22"/>
          <w:szCs w:val="20"/>
          <w:lang w:val="en-GB"/>
        </w:rPr>
      </w:pPr>
    </w:p>
    <w:p w:rsidR="00D04EFD" w:rsidRPr="00D04EFD" w:rsidRDefault="00D04EFD" w:rsidP="00D04EFD">
      <w:pPr>
        <w:widowControl/>
        <w:tabs>
          <w:tab w:val="left" w:pos="720"/>
        </w:tabs>
        <w:adjustRightInd/>
        <w:snapToGrid/>
        <w:spacing w:line="240" w:lineRule="auto"/>
        <w:ind w:firstLineChars="0" w:firstLine="0"/>
        <w:jc w:val="center"/>
        <w:rPr>
          <w:kern w:val="0"/>
          <w:sz w:val="22"/>
          <w:szCs w:val="20"/>
          <w:lang w:val="en-GB"/>
        </w:rPr>
      </w:pPr>
      <w:r w:rsidRPr="00D04EFD">
        <w:rPr>
          <w:rFonts w:hint="eastAsia"/>
          <w:kern w:val="0"/>
          <w:sz w:val="22"/>
          <w:szCs w:val="20"/>
          <w:lang w:val="en-GB"/>
        </w:rPr>
        <w:t>以下通报根据</w:t>
      </w:r>
      <w:r w:rsidRPr="00D04EFD">
        <w:rPr>
          <w:rFonts w:hint="eastAsia"/>
          <w:kern w:val="0"/>
          <w:sz w:val="22"/>
          <w:szCs w:val="20"/>
          <w:lang w:val="en-GB"/>
        </w:rPr>
        <w:t>TBT</w:t>
      </w:r>
      <w:r w:rsidRPr="00D04EFD">
        <w:rPr>
          <w:rFonts w:hint="eastAsia"/>
          <w:kern w:val="0"/>
          <w:sz w:val="22"/>
          <w:szCs w:val="20"/>
          <w:lang w:val="en-GB"/>
        </w:rPr>
        <w:t>协定第</w:t>
      </w:r>
      <w:r w:rsidRPr="00D04EFD">
        <w:rPr>
          <w:kern w:val="0"/>
          <w:sz w:val="22"/>
          <w:szCs w:val="20"/>
          <w:lang w:val="en-GB"/>
        </w:rPr>
        <w:t>10.6</w:t>
      </w:r>
      <w:r w:rsidRPr="00D04EFD">
        <w:rPr>
          <w:rFonts w:hint="eastAsia"/>
          <w:kern w:val="0"/>
          <w:sz w:val="22"/>
          <w:szCs w:val="20"/>
          <w:lang w:val="en-GB"/>
        </w:rPr>
        <w:t xml:space="preserve"> </w:t>
      </w:r>
      <w:r w:rsidRPr="00D04EFD">
        <w:rPr>
          <w:rFonts w:hint="eastAsia"/>
          <w:kern w:val="0"/>
          <w:sz w:val="22"/>
          <w:szCs w:val="20"/>
          <w:lang w:val="en-GB"/>
        </w:rPr>
        <w:t>条分发</w:t>
      </w:r>
    </w:p>
    <w:p w:rsidR="00D04EFD" w:rsidRPr="00D04EFD" w:rsidRDefault="00D04EFD" w:rsidP="00D04EFD">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1827"/>
        <w:gridCol w:w="5842"/>
      </w:tblGrid>
      <w:tr w:rsidR="00D04EFD" w:rsidRPr="00D04EFD" w:rsidTr="00D04EFD">
        <w:trPr>
          <w:jc w:val="center"/>
        </w:trPr>
        <w:tc>
          <w:tcPr>
            <w:tcW w:w="666" w:type="dxa"/>
            <w:tcBorders>
              <w:top w:val="doub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1.</w:t>
            </w:r>
          </w:p>
        </w:tc>
        <w:tc>
          <w:tcPr>
            <w:tcW w:w="7669" w:type="dxa"/>
            <w:gridSpan w:val="2"/>
            <w:tcBorders>
              <w:top w:val="doub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u w:val="single"/>
                <w:lang w:val="en-GB"/>
              </w:rPr>
            </w:pPr>
            <w:r w:rsidRPr="00D04EFD">
              <w:rPr>
                <w:rFonts w:hint="eastAsia"/>
                <w:b/>
                <w:kern w:val="0"/>
                <w:sz w:val="22"/>
                <w:szCs w:val="20"/>
                <w:lang w:val="en-GB"/>
              </w:rPr>
              <w:t>通报成员：</w:t>
            </w:r>
            <w:r w:rsidRPr="00D04EFD">
              <w:rPr>
                <w:rFonts w:hint="eastAsia"/>
                <w:kern w:val="0"/>
                <w:sz w:val="22"/>
                <w:szCs w:val="20"/>
                <w:u w:val="single"/>
                <w:lang w:val="en-GB"/>
              </w:rPr>
              <w:t>欧盟</w:t>
            </w:r>
          </w:p>
          <w:p w:rsidR="00D04EFD" w:rsidRPr="00D04EFD" w:rsidRDefault="00D04EFD" w:rsidP="00D04EFD">
            <w:pPr>
              <w:widowControl/>
              <w:tabs>
                <w:tab w:val="left" w:pos="720"/>
              </w:tabs>
              <w:spacing w:line="276" w:lineRule="auto"/>
              <w:ind w:firstLineChars="0" w:firstLine="0"/>
              <w:rPr>
                <w:kern w:val="0"/>
                <w:sz w:val="22"/>
                <w:szCs w:val="20"/>
                <w:lang w:val="en-GB"/>
              </w:rPr>
            </w:pPr>
            <w:r w:rsidRPr="00D04EFD">
              <w:rPr>
                <w:rFonts w:hint="eastAsia"/>
                <w:b/>
                <w:kern w:val="0"/>
                <w:sz w:val="22"/>
                <w:szCs w:val="20"/>
                <w:lang w:val="en-GB"/>
              </w:rPr>
              <w:t>如可能，列出涉及的地方政府名称</w:t>
            </w:r>
            <w:r w:rsidRPr="00D04EFD">
              <w:rPr>
                <w:b/>
                <w:kern w:val="0"/>
                <w:sz w:val="22"/>
                <w:szCs w:val="20"/>
                <w:lang w:val="en-GB"/>
              </w:rPr>
              <w:t xml:space="preserve"> ( 3.2</w:t>
            </w:r>
            <w:r w:rsidRPr="00D04EFD">
              <w:rPr>
                <w:rFonts w:hint="eastAsia"/>
                <w:b/>
                <w:kern w:val="0"/>
                <w:sz w:val="22"/>
                <w:szCs w:val="20"/>
                <w:lang w:val="en-GB"/>
              </w:rPr>
              <w:t>条和</w:t>
            </w:r>
            <w:r w:rsidRPr="00D04EFD">
              <w:rPr>
                <w:b/>
                <w:kern w:val="0"/>
                <w:sz w:val="22"/>
                <w:szCs w:val="20"/>
                <w:lang w:val="en-GB"/>
              </w:rPr>
              <w:t>7.2</w:t>
            </w:r>
            <w:r w:rsidRPr="00D04EFD">
              <w:rPr>
                <w:rFonts w:hint="eastAsia"/>
                <w:b/>
                <w:kern w:val="0"/>
                <w:sz w:val="22"/>
                <w:szCs w:val="20"/>
                <w:lang w:val="en-GB"/>
              </w:rPr>
              <w:t xml:space="preserve"> </w:t>
            </w:r>
            <w:r w:rsidRPr="00D04EFD">
              <w:rPr>
                <w:rFonts w:hint="eastAsia"/>
                <w:b/>
                <w:kern w:val="0"/>
                <w:sz w:val="22"/>
                <w:szCs w:val="20"/>
                <w:lang w:val="en-GB"/>
              </w:rPr>
              <w:t>条</w:t>
            </w:r>
            <w:r w:rsidRPr="00D04EFD">
              <w:rPr>
                <w:rFonts w:hint="eastAsia"/>
                <w:b/>
                <w:kern w:val="0"/>
                <w:sz w:val="22"/>
                <w:szCs w:val="20"/>
                <w:lang w:val="en-GB"/>
              </w:rPr>
              <w:t>)</w:t>
            </w:r>
            <w:r w:rsidRPr="00D04EFD">
              <w:rPr>
                <w:rFonts w:hint="eastAsia"/>
                <w:b/>
                <w:kern w:val="0"/>
                <w:sz w:val="22"/>
                <w:szCs w:val="20"/>
                <w:lang w:val="en-GB"/>
              </w:rPr>
              <w:t>：</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2.</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b/>
                <w:kern w:val="0"/>
                <w:sz w:val="22"/>
                <w:szCs w:val="20"/>
                <w:lang w:val="en-GB"/>
              </w:rPr>
            </w:pPr>
            <w:r w:rsidRPr="00D04EFD">
              <w:rPr>
                <w:rFonts w:hint="eastAsia"/>
                <w:b/>
                <w:kern w:val="0"/>
                <w:sz w:val="22"/>
                <w:szCs w:val="20"/>
                <w:lang w:val="en-GB"/>
              </w:rPr>
              <w:t>负责机构：</w:t>
            </w:r>
            <w:r w:rsidRPr="00D04EFD">
              <w:rPr>
                <w:rFonts w:hint="eastAsia"/>
                <w:kern w:val="0"/>
                <w:sz w:val="22"/>
                <w:szCs w:val="20"/>
                <w:lang w:val="en-GB"/>
              </w:rPr>
              <w:t>欧盟委员会</w:t>
            </w:r>
            <w:r w:rsidRPr="00D04EFD">
              <w:rPr>
                <w:kern w:val="0"/>
                <w:sz w:val="22"/>
                <w:szCs w:val="20"/>
                <w:lang w:val="en-GB"/>
              </w:rPr>
              <w:t xml:space="preserve"> </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3.</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kern w:val="0"/>
                <w:sz w:val="22"/>
                <w:szCs w:val="20"/>
                <w:lang w:val="en-GB"/>
              </w:rPr>
            </w:pPr>
            <w:r w:rsidRPr="00D04EFD">
              <w:rPr>
                <w:rFonts w:hint="eastAsia"/>
                <w:b/>
                <w:kern w:val="0"/>
                <w:sz w:val="22"/>
                <w:szCs w:val="20"/>
                <w:lang w:val="en-GB"/>
              </w:rPr>
              <w:t>通报依据的条款</w:t>
            </w:r>
            <w:r w:rsidRPr="00D04EFD">
              <w:rPr>
                <w:b/>
                <w:kern w:val="0"/>
                <w:sz w:val="22"/>
                <w:szCs w:val="20"/>
                <w:lang w:val="en-GB"/>
              </w:rPr>
              <w:t xml:space="preserve"> </w:t>
            </w:r>
            <w:smartTag w:uri="urn:schemas-microsoft-com:office:smarttags" w:element="chsdate">
              <w:smartTagPr>
                <w:attr w:name="Year" w:val="1899"/>
                <w:attr w:name="Month" w:val="12"/>
                <w:attr w:name="Day" w:val="30"/>
                <w:attr w:name="IsLunarDate" w:val="False"/>
                <w:attr w:name="IsROCDate" w:val="False"/>
              </w:smartTagPr>
              <w:r w:rsidRPr="00D04EFD">
                <w:rPr>
                  <w:b/>
                  <w:kern w:val="0"/>
                  <w:sz w:val="22"/>
                  <w:szCs w:val="20"/>
                  <w:lang w:val="en-GB"/>
                </w:rPr>
                <w:t>2.9.2</w:t>
              </w:r>
            </w:smartTag>
            <w:r w:rsidRPr="00D04EFD">
              <w:rPr>
                <w:b/>
                <w:kern w:val="0"/>
                <w:sz w:val="22"/>
                <w:szCs w:val="20"/>
                <w:lang w:val="en-GB"/>
              </w:rPr>
              <w:t xml:space="preserve"> [X</w:t>
            </w:r>
            <w:r w:rsidRPr="00D04EFD">
              <w:rPr>
                <w:rFonts w:hint="eastAsia"/>
                <w:b/>
                <w:kern w:val="0"/>
                <w:sz w:val="22"/>
                <w:szCs w:val="20"/>
                <w:lang w:val="en-GB"/>
              </w:rPr>
              <w:t xml:space="preserve"> </w:t>
            </w:r>
            <w:r w:rsidRPr="00D04EFD">
              <w:rPr>
                <w:b/>
                <w:kern w:val="0"/>
                <w:sz w:val="22"/>
                <w:szCs w:val="20"/>
                <w:lang w:val="en-GB"/>
              </w:rPr>
              <w:t>], 2.10.1 [</w:t>
            </w:r>
            <w:r>
              <w:rPr>
                <w:kern w:val="0"/>
                <w:sz w:val="22"/>
                <w:szCs w:val="20"/>
                <w:lang w:val="en-GB"/>
              </w:rPr>
              <w:t xml:space="preserve">  </w:t>
            </w:r>
            <w:r w:rsidRPr="00D04EFD">
              <w:rPr>
                <w:b/>
                <w:kern w:val="0"/>
                <w:sz w:val="22"/>
                <w:szCs w:val="20"/>
                <w:lang w:val="en-GB"/>
              </w:rPr>
              <w:t>], 5.6.2 [</w:t>
            </w:r>
            <w:r w:rsidRPr="00D04EFD">
              <w:rPr>
                <w:rFonts w:hint="eastAsia"/>
                <w:b/>
                <w:kern w:val="0"/>
                <w:sz w:val="22"/>
                <w:szCs w:val="20"/>
                <w:lang w:val="en-GB"/>
              </w:rPr>
              <w:t xml:space="preserve"> </w:t>
            </w:r>
            <w:r w:rsidRPr="00D04EFD">
              <w:rPr>
                <w:rFonts w:hint="eastAsia"/>
                <w:kern w:val="0"/>
                <w:sz w:val="22"/>
                <w:szCs w:val="20"/>
                <w:lang w:val="en-GB"/>
              </w:rPr>
              <w:t xml:space="preserve"> </w:t>
            </w:r>
            <w:r w:rsidRPr="00D04EFD">
              <w:rPr>
                <w:b/>
                <w:kern w:val="0"/>
                <w:sz w:val="22"/>
                <w:szCs w:val="20"/>
                <w:lang w:val="en-GB"/>
              </w:rPr>
              <w:t>], 5.7.1 [</w:t>
            </w:r>
            <w:r>
              <w:rPr>
                <w:kern w:val="0"/>
                <w:sz w:val="22"/>
                <w:szCs w:val="20"/>
                <w:lang w:val="en-GB"/>
              </w:rPr>
              <w:t xml:space="preserve">  </w:t>
            </w:r>
            <w:r w:rsidRPr="00D04EFD">
              <w:rPr>
                <w:b/>
                <w:kern w:val="0"/>
                <w:sz w:val="22"/>
                <w:szCs w:val="20"/>
                <w:lang w:val="en-GB"/>
              </w:rPr>
              <w:t xml:space="preserve">], </w:t>
            </w:r>
            <w:r w:rsidRPr="00D04EFD">
              <w:rPr>
                <w:rFonts w:hint="eastAsia"/>
                <w:b/>
                <w:kern w:val="0"/>
                <w:sz w:val="22"/>
                <w:szCs w:val="20"/>
                <w:lang w:val="en-GB"/>
              </w:rPr>
              <w:t>其他</w:t>
            </w:r>
            <w:r w:rsidRPr="00D04EFD">
              <w:rPr>
                <w:b/>
                <w:kern w:val="0"/>
                <w:sz w:val="22"/>
                <w:szCs w:val="20"/>
                <w:lang w:val="en-GB"/>
              </w:rPr>
              <w:t>:</w:t>
            </w:r>
            <w:r w:rsidRPr="00D04EFD">
              <w:rPr>
                <w:kern w:val="0"/>
                <w:sz w:val="22"/>
                <w:szCs w:val="20"/>
                <w:lang w:val="en-GB"/>
              </w:rPr>
              <w:t xml:space="preserve"> </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4.</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覆盖的产品</w:t>
            </w:r>
            <w:r w:rsidRPr="00D04EFD">
              <w:rPr>
                <w:b/>
                <w:kern w:val="0"/>
                <w:sz w:val="22"/>
                <w:szCs w:val="20"/>
                <w:lang w:val="en-GB"/>
              </w:rPr>
              <w:t xml:space="preserve"> (</w:t>
            </w:r>
            <w:r w:rsidRPr="00D04EFD">
              <w:rPr>
                <w:rFonts w:hint="eastAsia"/>
                <w:b/>
                <w:kern w:val="0"/>
                <w:sz w:val="22"/>
                <w:szCs w:val="20"/>
                <w:lang w:val="en-GB"/>
              </w:rPr>
              <w:t xml:space="preserve"> </w:t>
            </w:r>
            <w:r w:rsidRPr="00D04EFD">
              <w:rPr>
                <w:rFonts w:hint="eastAsia"/>
                <w:b/>
                <w:kern w:val="0"/>
                <w:sz w:val="22"/>
                <w:szCs w:val="20"/>
                <w:lang w:val="en-GB"/>
              </w:rPr>
              <w:t>如可能，提供产品的</w:t>
            </w:r>
            <w:r w:rsidRPr="00D04EFD">
              <w:rPr>
                <w:b/>
                <w:kern w:val="0"/>
                <w:sz w:val="22"/>
                <w:szCs w:val="20"/>
                <w:lang w:val="en-GB"/>
              </w:rPr>
              <w:t xml:space="preserve">HS </w:t>
            </w:r>
            <w:r w:rsidRPr="00D04EFD">
              <w:rPr>
                <w:rFonts w:hint="eastAsia"/>
                <w:b/>
                <w:kern w:val="0"/>
                <w:sz w:val="22"/>
                <w:szCs w:val="20"/>
                <w:lang w:val="en-GB"/>
              </w:rPr>
              <w:t>或</w:t>
            </w:r>
            <w:r w:rsidRPr="00D04EFD">
              <w:rPr>
                <w:b/>
                <w:kern w:val="0"/>
                <w:sz w:val="22"/>
                <w:szCs w:val="20"/>
                <w:lang w:val="en-GB"/>
              </w:rPr>
              <w:t xml:space="preserve"> CCCN</w:t>
            </w:r>
            <w:r w:rsidRPr="00D04EFD">
              <w:rPr>
                <w:rFonts w:hint="eastAsia"/>
                <w:b/>
                <w:kern w:val="0"/>
                <w:sz w:val="22"/>
                <w:szCs w:val="20"/>
                <w:lang w:val="en-GB"/>
              </w:rPr>
              <w:t>编码</w:t>
            </w:r>
            <w:r w:rsidRPr="00D04EFD">
              <w:rPr>
                <w:b/>
                <w:kern w:val="0"/>
                <w:sz w:val="22"/>
                <w:szCs w:val="20"/>
                <w:lang w:val="en-GB"/>
              </w:rPr>
              <w:t xml:space="preserve">, </w:t>
            </w:r>
            <w:r w:rsidRPr="00D04EFD">
              <w:rPr>
                <w:rFonts w:hint="eastAsia"/>
                <w:b/>
                <w:kern w:val="0"/>
                <w:sz w:val="22"/>
                <w:szCs w:val="20"/>
                <w:lang w:val="en-GB"/>
              </w:rPr>
              <w:t>否则提供国家减让表中所列关税税目号。如可能，可另提供国际标准分类</w:t>
            </w:r>
            <w:r w:rsidRPr="00D04EFD">
              <w:rPr>
                <w:b/>
                <w:kern w:val="0"/>
                <w:sz w:val="22"/>
                <w:szCs w:val="20"/>
                <w:lang w:val="en-GB"/>
              </w:rPr>
              <w:t>ICS</w:t>
            </w:r>
            <w:r w:rsidRPr="00D04EFD">
              <w:rPr>
                <w:rFonts w:hint="eastAsia"/>
                <w:b/>
                <w:kern w:val="0"/>
                <w:sz w:val="22"/>
                <w:szCs w:val="20"/>
                <w:lang w:val="en-GB"/>
              </w:rPr>
              <w:t>号</w:t>
            </w:r>
            <w:r w:rsidRPr="00D04EFD">
              <w:rPr>
                <w:rFonts w:hint="eastAsia"/>
                <w:b/>
                <w:kern w:val="0"/>
                <w:sz w:val="22"/>
                <w:szCs w:val="20"/>
                <w:lang w:val="en-GB"/>
              </w:rPr>
              <w:t>)</w:t>
            </w:r>
            <w:r w:rsidRPr="00D04EFD">
              <w:rPr>
                <w:b/>
                <w:kern w:val="0"/>
                <w:sz w:val="22"/>
                <w:szCs w:val="20"/>
                <w:lang w:val="en-GB"/>
              </w:rPr>
              <w:t>:</w:t>
            </w:r>
            <w:r w:rsidRPr="00D04EFD">
              <w:rPr>
                <w:kern w:val="0"/>
                <w:sz w:val="22"/>
                <w:szCs w:val="20"/>
                <w:lang w:val="en-GB"/>
              </w:rPr>
              <w:t xml:space="preserve"> </w:t>
            </w:r>
            <w:r w:rsidRPr="00D04EFD">
              <w:rPr>
                <w:rFonts w:hint="eastAsia"/>
                <w:kern w:val="0"/>
                <w:sz w:val="22"/>
                <w:szCs w:val="20"/>
                <w:lang w:val="en-GB"/>
              </w:rPr>
              <w:t>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氧乙酸（杀虫剂活性物质）</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ascii="CG Times" w:hAnsi="CG Times"/>
                <w:b/>
                <w:color w:val="000000"/>
                <w:kern w:val="0"/>
                <w:sz w:val="22"/>
                <w:szCs w:val="20"/>
                <w:lang w:val="en-GB"/>
              </w:rPr>
              <w:t>ICS:</w:t>
            </w:r>
            <w:r w:rsidRPr="00D04EFD">
              <w:rPr>
                <w:rFonts w:ascii="CG Times" w:hAnsi="CG Times"/>
                <w:color w:val="000000"/>
                <w:kern w:val="0"/>
                <w:sz w:val="22"/>
                <w:szCs w:val="20"/>
                <w:lang w:val="en-GB"/>
              </w:rPr>
              <w:t xml:space="preserve">     </w:t>
            </w:r>
            <w:r w:rsidRPr="00D04EFD">
              <w:rPr>
                <w:rFonts w:ascii="CG Times" w:hAnsi="CG Times"/>
                <w:color w:val="000000"/>
                <w:kern w:val="0"/>
                <w:sz w:val="22"/>
                <w:szCs w:val="20"/>
                <w:lang w:val="en-GB"/>
              </w:rPr>
              <w:tab/>
            </w:r>
            <w:r w:rsidRPr="00D04EFD">
              <w:rPr>
                <w:rFonts w:ascii="CG Times" w:hAnsi="CG Times"/>
                <w:color w:val="000000"/>
                <w:kern w:val="0"/>
                <w:sz w:val="22"/>
                <w:szCs w:val="20"/>
                <w:lang w:val="en-GB"/>
              </w:rPr>
              <w:tab/>
            </w:r>
            <w:r w:rsidRPr="00D04EFD">
              <w:rPr>
                <w:rFonts w:ascii="CG Times" w:hAnsi="CG Times"/>
                <w:color w:val="000000"/>
                <w:kern w:val="0"/>
                <w:sz w:val="22"/>
                <w:szCs w:val="20"/>
                <w:lang w:val="en-GB"/>
              </w:rPr>
              <w:tab/>
            </w:r>
            <w:r w:rsidRPr="00D04EFD">
              <w:rPr>
                <w:rFonts w:ascii="CG Times" w:hAnsi="CG Times"/>
                <w:color w:val="000000"/>
                <w:kern w:val="0"/>
                <w:sz w:val="22"/>
                <w:szCs w:val="20"/>
                <w:lang w:val="en-GB"/>
              </w:rPr>
              <w:tab/>
            </w:r>
            <w:r w:rsidRPr="00D04EFD">
              <w:rPr>
                <w:rFonts w:ascii="CG Times" w:hAnsi="CG Times" w:hint="eastAsia"/>
                <w:color w:val="000000"/>
                <w:kern w:val="0"/>
                <w:sz w:val="22"/>
                <w:szCs w:val="20"/>
                <w:lang w:val="en-GB"/>
              </w:rPr>
              <w:t xml:space="preserve">          </w:t>
            </w:r>
            <w:r w:rsidRPr="00D04EFD">
              <w:rPr>
                <w:rFonts w:ascii="CG Times" w:hAnsi="CG Times"/>
                <w:b/>
                <w:color w:val="000000"/>
                <w:kern w:val="0"/>
                <w:sz w:val="22"/>
                <w:szCs w:val="20"/>
                <w:lang w:val="en-GB"/>
              </w:rPr>
              <w:t>HS:</w:t>
            </w:r>
            <w:r w:rsidRPr="00D04EFD">
              <w:rPr>
                <w:rFonts w:ascii="CG Times" w:hAnsi="CG Times"/>
                <w:color w:val="000000"/>
                <w:kern w:val="0"/>
                <w:sz w:val="22"/>
                <w:szCs w:val="20"/>
                <w:lang w:val="en-GB"/>
              </w:rPr>
              <w:t xml:space="preserve"> </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5.</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通报文件的标题</w:t>
            </w:r>
            <w:r w:rsidRPr="00D04EFD">
              <w:rPr>
                <w:b/>
                <w:kern w:val="0"/>
                <w:sz w:val="22"/>
                <w:szCs w:val="20"/>
                <w:lang w:val="en-GB"/>
              </w:rPr>
              <w:t xml:space="preserve">, </w:t>
            </w:r>
            <w:r w:rsidRPr="00D04EFD">
              <w:rPr>
                <w:rFonts w:hint="eastAsia"/>
                <w:b/>
                <w:kern w:val="0"/>
                <w:sz w:val="22"/>
                <w:szCs w:val="20"/>
                <w:lang w:val="en-GB"/>
              </w:rPr>
              <w:t>页数和使用语言</w:t>
            </w:r>
            <w:r w:rsidRPr="00D04EFD">
              <w:rPr>
                <w:b/>
                <w:kern w:val="0"/>
                <w:sz w:val="22"/>
                <w:szCs w:val="20"/>
                <w:lang w:val="en-GB"/>
              </w:rPr>
              <w:t>:</w:t>
            </w:r>
            <w:r w:rsidRPr="00D04EFD">
              <w:rPr>
                <w:rFonts w:hint="eastAsia"/>
                <w:kern w:val="0"/>
                <w:sz w:val="22"/>
                <w:szCs w:val="20"/>
                <w:lang w:val="en-GB"/>
              </w:rPr>
              <w:t xml:space="preserve"> </w:t>
            </w:r>
            <w:r w:rsidRPr="00D04EFD">
              <w:rPr>
                <w:rFonts w:hint="eastAsia"/>
                <w:kern w:val="0"/>
                <w:sz w:val="22"/>
                <w:szCs w:val="20"/>
                <w:lang w:val="en-GB"/>
              </w:rPr>
              <w:t>欧盟委员会法规实施细则草案，修订关于活性物质氯氟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氧乙酸批准条件的法规实施细则</w:t>
            </w:r>
            <w:r w:rsidRPr="00D04EFD">
              <w:rPr>
                <w:spacing w:val="-2"/>
                <w:kern w:val="0"/>
                <w:sz w:val="22"/>
                <w:szCs w:val="20"/>
                <w:lang w:val="en-GB"/>
              </w:rPr>
              <w:t>(EU) No 540/2011</w:t>
            </w:r>
            <w:r w:rsidRPr="00D04EFD">
              <w:rPr>
                <w:rFonts w:hint="eastAsia"/>
                <w:kern w:val="0"/>
                <w:sz w:val="22"/>
                <w:szCs w:val="20"/>
                <w:lang w:val="en-GB"/>
              </w:rPr>
              <w:t>（</w:t>
            </w:r>
            <w:r w:rsidRPr="00D04EFD">
              <w:rPr>
                <w:rFonts w:hint="eastAsia"/>
                <w:kern w:val="0"/>
                <w:sz w:val="22"/>
                <w:szCs w:val="20"/>
                <w:lang w:val="en-GB"/>
              </w:rPr>
              <w:t>4</w:t>
            </w:r>
            <w:r w:rsidRPr="00D04EFD">
              <w:rPr>
                <w:rFonts w:hint="eastAsia"/>
                <w:kern w:val="0"/>
                <w:sz w:val="22"/>
                <w:szCs w:val="20"/>
                <w:lang w:val="en-GB"/>
              </w:rPr>
              <w:t>页</w:t>
            </w:r>
            <w:r w:rsidRPr="00D04EFD">
              <w:rPr>
                <w:rFonts w:hint="eastAsia"/>
                <w:kern w:val="0"/>
                <w:sz w:val="22"/>
                <w:szCs w:val="20"/>
                <w:lang w:val="en-GB"/>
              </w:rPr>
              <w:t>+2</w:t>
            </w:r>
            <w:r w:rsidRPr="00D04EFD">
              <w:rPr>
                <w:rFonts w:hint="eastAsia"/>
                <w:kern w:val="0"/>
                <w:sz w:val="22"/>
                <w:szCs w:val="20"/>
                <w:lang w:val="en-GB"/>
              </w:rPr>
              <w:t>页附录，英语）</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6.</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内容简述</w:t>
            </w:r>
            <w:r w:rsidRPr="00D04EFD">
              <w:rPr>
                <w:b/>
                <w:kern w:val="0"/>
                <w:sz w:val="22"/>
                <w:szCs w:val="20"/>
                <w:lang w:val="en-GB"/>
              </w:rPr>
              <w:t>:</w:t>
            </w:r>
            <w:r w:rsidRPr="00D04EFD">
              <w:rPr>
                <w:rFonts w:hint="eastAsia"/>
                <w:b/>
                <w:kern w:val="0"/>
                <w:sz w:val="22"/>
                <w:szCs w:val="20"/>
                <w:lang w:val="en-GB"/>
              </w:rPr>
              <w:t xml:space="preserve"> </w:t>
            </w:r>
            <w:r w:rsidRPr="00D04EFD">
              <w:rPr>
                <w:rFonts w:hint="eastAsia"/>
                <w:kern w:val="0"/>
                <w:sz w:val="22"/>
                <w:szCs w:val="20"/>
                <w:lang w:val="en-GB"/>
              </w:rPr>
              <w:t>本欧盟委员会法规实施细则草案规定活性物质氯氟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氧乙酸的批准条件已经修订。现已授权的含氯氟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氧乙酸植物保护产品将改进或从市场上撤销。修订基于依照法规</w:t>
            </w:r>
            <w:r w:rsidRPr="00D04EFD">
              <w:rPr>
                <w:kern w:val="0"/>
                <w:sz w:val="22"/>
                <w:szCs w:val="20"/>
                <w:lang w:val="en-GB"/>
              </w:rPr>
              <w:t>(EC) No 1107/2009</w:t>
            </w:r>
            <w:r w:rsidRPr="00D04EFD">
              <w:rPr>
                <w:rFonts w:hint="eastAsia"/>
                <w:kern w:val="0"/>
                <w:sz w:val="22"/>
                <w:szCs w:val="20"/>
                <w:lang w:val="en-GB"/>
              </w:rPr>
              <w:t>批准该物质在欧盟作为杀虫剂活性物质使用后提交的验证信息的评估。</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此项决定涉及该物质的上市，不影响杀虫剂最大残留（</w:t>
            </w:r>
            <w:r w:rsidRPr="00D04EFD">
              <w:rPr>
                <w:kern w:val="0"/>
                <w:sz w:val="22"/>
                <w:szCs w:val="20"/>
                <w:lang w:val="en-GB"/>
              </w:rPr>
              <w:t>MRLs</w:t>
            </w:r>
            <w:r w:rsidRPr="00D04EFD">
              <w:rPr>
                <w:rFonts w:hint="eastAsia"/>
                <w:kern w:val="0"/>
                <w:sz w:val="22"/>
                <w:szCs w:val="20"/>
                <w:lang w:val="en-GB"/>
              </w:rPr>
              <w:t>）。</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7.</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bCs/>
                <w:spacing w:val="-2"/>
                <w:kern w:val="0"/>
                <w:sz w:val="22"/>
                <w:lang w:val="en-GB"/>
              </w:rPr>
            </w:pPr>
            <w:r w:rsidRPr="00D04EFD">
              <w:rPr>
                <w:rFonts w:hint="eastAsia"/>
                <w:b/>
                <w:kern w:val="0"/>
                <w:sz w:val="22"/>
                <w:szCs w:val="20"/>
                <w:lang w:val="en-GB"/>
              </w:rPr>
              <w:t>目标和理由</w:t>
            </w:r>
            <w:r w:rsidRPr="00D04EFD">
              <w:rPr>
                <w:b/>
                <w:kern w:val="0"/>
                <w:sz w:val="22"/>
                <w:szCs w:val="20"/>
                <w:lang w:val="en-GB"/>
              </w:rPr>
              <w:t xml:space="preserve">, </w:t>
            </w:r>
            <w:r w:rsidRPr="00D04EFD">
              <w:rPr>
                <w:rFonts w:hint="eastAsia"/>
                <w:b/>
                <w:kern w:val="0"/>
                <w:sz w:val="22"/>
                <w:szCs w:val="20"/>
                <w:lang w:val="en-GB"/>
              </w:rPr>
              <w:t>如是紧急措施，说明紧急问题的性质</w:t>
            </w:r>
            <w:r w:rsidRPr="00D04EFD">
              <w:rPr>
                <w:b/>
                <w:kern w:val="0"/>
                <w:sz w:val="22"/>
                <w:szCs w:val="20"/>
                <w:lang w:val="en-GB"/>
              </w:rPr>
              <w:t>:</w:t>
            </w:r>
            <w:r w:rsidRPr="00D04EFD">
              <w:rPr>
                <w:rFonts w:hint="eastAsia"/>
                <w:b/>
                <w:kern w:val="0"/>
                <w:sz w:val="22"/>
                <w:szCs w:val="20"/>
                <w:lang w:val="en-GB"/>
              </w:rPr>
              <w:t xml:space="preserve"> </w:t>
            </w:r>
            <w:r w:rsidRPr="00D04EFD">
              <w:rPr>
                <w:rFonts w:hint="eastAsia"/>
                <w:bCs/>
                <w:spacing w:val="-2"/>
                <w:kern w:val="0"/>
                <w:sz w:val="22"/>
                <w:lang w:val="en-GB"/>
              </w:rPr>
              <w:t>保护人类健康安全；保护动植物生命健康；保护环境。</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在延续批准（欧盟委员会法规实施细则</w:t>
            </w:r>
            <w:r w:rsidRPr="00D04EFD">
              <w:rPr>
                <w:kern w:val="0"/>
                <w:sz w:val="22"/>
                <w:szCs w:val="20"/>
                <w:lang w:val="en-GB"/>
              </w:rPr>
              <w:t>(EU) No 736/2011</w:t>
            </w:r>
            <w:r w:rsidRPr="00D04EFD">
              <w:rPr>
                <w:rFonts w:hint="eastAsia"/>
                <w:kern w:val="0"/>
                <w:sz w:val="22"/>
                <w:szCs w:val="20"/>
                <w:lang w:val="en-GB"/>
              </w:rPr>
              <w:t>）后的氯氟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氧乙酸验证数据评估和同业评审过程中，确定了技术材料中出现了数量水平能够影响物质分类的毒性相关杂质（</w:t>
            </w:r>
            <w:r w:rsidRPr="00D04EFD">
              <w:rPr>
                <w:kern w:val="0"/>
                <w:sz w:val="22"/>
                <w:szCs w:val="20"/>
                <w:lang w:val="en-GB"/>
              </w:rPr>
              <w:t>NMP</w:t>
            </w:r>
            <w:r w:rsidRPr="00D04EFD">
              <w:rPr>
                <w:rFonts w:hint="eastAsia"/>
                <w:kern w:val="0"/>
                <w:sz w:val="22"/>
                <w:szCs w:val="20"/>
                <w:lang w:val="en-GB"/>
              </w:rPr>
              <w:t>）。有必要规定杂质低于</w:t>
            </w:r>
            <w:r w:rsidRPr="00D04EFD">
              <w:rPr>
                <w:kern w:val="0"/>
                <w:sz w:val="22"/>
                <w:szCs w:val="20"/>
                <w:lang w:val="en-GB"/>
              </w:rPr>
              <w:t>3 g/kg</w:t>
            </w:r>
            <w:r w:rsidRPr="00D04EFD">
              <w:rPr>
                <w:rFonts w:hint="eastAsia"/>
                <w:kern w:val="0"/>
                <w:sz w:val="22"/>
                <w:szCs w:val="20"/>
                <w:lang w:val="en-GB"/>
              </w:rPr>
              <w:t>的限制，以确保对消费者没有影响。</w:t>
            </w:r>
            <w:r w:rsidRPr="00D04EFD">
              <w:rPr>
                <w:rFonts w:hint="eastAsia"/>
                <w:kern w:val="0"/>
                <w:sz w:val="22"/>
                <w:szCs w:val="20"/>
                <w:lang w:val="en-GB"/>
              </w:rPr>
              <w:t>2015</w:t>
            </w:r>
            <w:r w:rsidRPr="00D04EFD">
              <w:rPr>
                <w:rFonts w:hint="eastAsia"/>
                <w:kern w:val="0"/>
                <w:sz w:val="22"/>
                <w:szCs w:val="20"/>
                <w:lang w:val="en-GB"/>
              </w:rPr>
              <w:t>年</w:t>
            </w:r>
            <w:r w:rsidRPr="00D04EFD">
              <w:rPr>
                <w:rFonts w:hint="eastAsia"/>
                <w:kern w:val="0"/>
                <w:sz w:val="22"/>
                <w:szCs w:val="20"/>
                <w:lang w:val="en-GB"/>
              </w:rPr>
              <w:t>7</w:t>
            </w:r>
            <w:r w:rsidRPr="00D04EFD">
              <w:rPr>
                <w:rFonts w:hint="eastAsia"/>
                <w:kern w:val="0"/>
                <w:sz w:val="22"/>
                <w:szCs w:val="20"/>
                <w:lang w:val="en-GB"/>
              </w:rPr>
              <w:t>月公布的欧洲食品安全局</w:t>
            </w:r>
            <w:r w:rsidRPr="00D04EFD">
              <w:rPr>
                <w:rFonts w:hint="eastAsia"/>
                <w:kern w:val="0"/>
                <w:sz w:val="22"/>
                <w:szCs w:val="20"/>
                <w:lang w:val="en-GB"/>
              </w:rPr>
              <w:t>(EFSA)</w:t>
            </w:r>
            <w:r w:rsidRPr="00D04EFD">
              <w:rPr>
                <w:rFonts w:hint="eastAsia"/>
                <w:kern w:val="0"/>
                <w:sz w:val="22"/>
                <w:szCs w:val="20"/>
                <w:lang w:val="en-GB"/>
              </w:rPr>
              <w:t>的技术报告中说明了这一点。</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为了确保消费者保护，必须修订批准条件以包括毒性相关杂质（</w:t>
            </w:r>
            <w:r w:rsidRPr="00D04EFD">
              <w:rPr>
                <w:kern w:val="0"/>
                <w:sz w:val="22"/>
                <w:szCs w:val="20"/>
                <w:lang w:val="en-GB"/>
              </w:rPr>
              <w:t>NMP</w:t>
            </w:r>
            <w:r w:rsidRPr="00D04EFD">
              <w:rPr>
                <w:rFonts w:hint="eastAsia"/>
                <w:kern w:val="0"/>
                <w:sz w:val="22"/>
                <w:szCs w:val="20"/>
                <w:lang w:val="en-GB"/>
              </w:rPr>
              <w:t>）限制。</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现有授权需要修订或撤销；成员国必须最迟在法规生效</w:t>
            </w:r>
            <w:r w:rsidRPr="00D04EFD">
              <w:rPr>
                <w:rFonts w:hint="eastAsia"/>
                <w:kern w:val="0"/>
                <w:sz w:val="22"/>
                <w:szCs w:val="20"/>
                <w:lang w:val="en-GB"/>
              </w:rPr>
              <w:t>3</w:t>
            </w:r>
            <w:r w:rsidRPr="00D04EFD">
              <w:rPr>
                <w:rFonts w:hint="eastAsia"/>
                <w:kern w:val="0"/>
                <w:sz w:val="22"/>
                <w:szCs w:val="20"/>
                <w:lang w:val="en-GB"/>
              </w:rPr>
              <w:t>个月内修订或撤销现有包含氯氟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氧乙酸的植物保护产品。考虑到符合法规</w:t>
            </w:r>
            <w:r w:rsidRPr="00D04EFD">
              <w:rPr>
                <w:rFonts w:hint="eastAsia"/>
                <w:kern w:val="0"/>
                <w:sz w:val="22"/>
                <w:szCs w:val="20"/>
                <w:lang w:val="en-GB"/>
              </w:rPr>
              <w:t>(EC) No 1107/2009</w:t>
            </w:r>
            <w:r w:rsidRPr="00D04EFD">
              <w:rPr>
                <w:rFonts w:hint="eastAsia"/>
                <w:kern w:val="0"/>
                <w:sz w:val="22"/>
                <w:szCs w:val="20"/>
                <w:lang w:val="en-GB"/>
              </w:rPr>
              <w:t>第</w:t>
            </w:r>
            <w:r w:rsidRPr="00D04EFD">
              <w:rPr>
                <w:rFonts w:hint="eastAsia"/>
                <w:kern w:val="0"/>
                <w:sz w:val="22"/>
                <w:szCs w:val="20"/>
                <w:lang w:val="en-GB"/>
              </w:rPr>
              <w:t>46</w:t>
            </w:r>
            <w:r w:rsidRPr="00D04EFD">
              <w:rPr>
                <w:rFonts w:hint="eastAsia"/>
                <w:kern w:val="0"/>
                <w:sz w:val="22"/>
                <w:szCs w:val="20"/>
                <w:lang w:val="en-GB"/>
              </w:rPr>
              <w:t>条的宽限期，撤销授权后最迟</w:t>
            </w:r>
            <w:r w:rsidRPr="00D04EFD">
              <w:rPr>
                <w:rFonts w:hint="eastAsia"/>
                <w:kern w:val="0"/>
                <w:sz w:val="22"/>
                <w:szCs w:val="20"/>
                <w:lang w:val="en-GB"/>
              </w:rPr>
              <w:t>15</w:t>
            </w:r>
            <w:r w:rsidRPr="00D04EFD">
              <w:rPr>
                <w:rFonts w:hint="eastAsia"/>
                <w:kern w:val="0"/>
                <w:sz w:val="22"/>
                <w:szCs w:val="20"/>
                <w:lang w:val="en-GB"/>
              </w:rPr>
              <w:t>个月到期</w:t>
            </w:r>
            <w:r w:rsidRPr="00D04EFD">
              <w:rPr>
                <w:rFonts w:hint="eastAsia"/>
                <w:bCs/>
                <w:spacing w:val="-2"/>
                <w:kern w:val="0"/>
                <w:sz w:val="22"/>
                <w:lang w:val="en-GB"/>
              </w:rPr>
              <w:t>。</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8.</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b/>
                <w:kern w:val="0"/>
                <w:sz w:val="22"/>
                <w:szCs w:val="20"/>
                <w:lang w:val="en-GB"/>
              </w:rPr>
            </w:pPr>
            <w:r w:rsidRPr="00D04EFD">
              <w:rPr>
                <w:rFonts w:hint="eastAsia"/>
                <w:b/>
                <w:kern w:val="0"/>
                <w:sz w:val="22"/>
                <w:szCs w:val="20"/>
                <w:lang w:val="en-GB"/>
              </w:rPr>
              <w:t>相关文件</w:t>
            </w:r>
            <w:r w:rsidRPr="00D04EFD">
              <w:rPr>
                <w:b/>
                <w:kern w:val="0"/>
                <w:sz w:val="22"/>
                <w:szCs w:val="20"/>
                <w:lang w:val="en-GB"/>
              </w:rPr>
              <w:t>:</w:t>
            </w:r>
            <w:r w:rsidRPr="00D04EFD">
              <w:rPr>
                <w:rFonts w:hint="eastAsia"/>
                <w:b/>
                <w:kern w:val="0"/>
                <w:sz w:val="22"/>
                <w:szCs w:val="20"/>
                <w:lang w:val="en-GB"/>
              </w:rPr>
              <w:t xml:space="preserve"> </w:t>
            </w:r>
          </w:p>
          <w:p w:rsidR="00D04EFD" w:rsidRPr="00D04EFD" w:rsidRDefault="00D04EFD" w:rsidP="00D04EFD">
            <w:pPr>
              <w:widowControl/>
              <w:tabs>
                <w:tab w:val="left" w:pos="720"/>
              </w:tabs>
              <w:spacing w:line="276" w:lineRule="auto"/>
              <w:ind w:firstLineChars="0" w:firstLine="0"/>
              <w:rPr>
                <w:rFonts w:hint="eastAsia"/>
                <w:spacing w:val="-2"/>
                <w:kern w:val="0"/>
                <w:sz w:val="22"/>
                <w:szCs w:val="20"/>
                <w:lang w:val="en-GB"/>
              </w:rPr>
            </w:pPr>
            <w:r w:rsidRPr="00D04EFD">
              <w:rPr>
                <w:rFonts w:hint="eastAsia"/>
                <w:kern w:val="0"/>
                <w:sz w:val="22"/>
                <w:szCs w:val="20"/>
                <w:lang w:val="en-GB"/>
              </w:rPr>
              <w:lastRenderedPageBreak/>
              <w:t>·</w:t>
            </w:r>
            <w:r w:rsidRPr="00D04EFD">
              <w:rPr>
                <w:rFonts w:hint="eastAsia"/>
                <w:bCs/>
                <w:spacing w:val="-2"/>
                <w:kern w:val="0"/>
                <w:sz w:val="22"/>
                <w:lang w:val="en-GB"/>
              </w:rPr>
              <w:t>2009</w:t>
            </w:r>
            <w:r w:rsidRPr="00D04EFD">
              <w:rPr>
                <w:rFonts w:hint="eastAsia"/>
                <w:bCs/>
                <w:spacing w:val="-2"/>
                <w:kern w:val="0"/>
                <w:sz w:val="22"/>
                <w:lang w:val="en-GB"/>
              </w:rPr>
              <w:t>年</w:t>
            </w:r>
            <w:r w:rsidRPr="00D04EFD">
              <w:rPr>
                <w:rFonts w:hint="eastAsia"/>
                <w:bCs/>
                <w:spacing w:val="-2"/>
                <w:kern w:val="0"/>
                <w:sz w:val="22"/>
                <w:lang w:val="en-GB"/>
              </w:rPr>
              <w:t>10</w:t>
            </w:r>
            <w:r w:rsidRPr="00D04EFD">
              <w:rPr>
                <w:rFonts w:hint="eastAsia"/>
                <w:bCs/>
                <w:spacing w:val="-2"/>
                <w:kern w:val="0"/>
                <w:sz w:val="22"/>
                <w:lang w:val="en-GB"/>
              </w:rPr>
              <w:t>月</w:t>
            </w:r>
            <w:r w:rsidRPr="00D04EFD">
              <w:rPr>
                <w:rFonts w:hint="eastAsia"/>
                <w:bCs/>
                <w:spacing w:val="-2"/>
                <w:kern w:val="0"/>
                <w:sz w:val="22"/>
                <w:lang w:val="en-GB"/>
              </w:rPr>
              <w:t>21</w:t>
            </w:r>
            <w:r w:rsidRPr="00D04EFD">
              <w:rPr>
                <w:rFonts w:hint="eastAsia"/>
                <w:bCs/>
                <w:spacing w:val="-2"/>
                <w:kern w:val="0"/>
                <w:sz w:val="22"/>
                <w:lang w:val="en-GB"/>
              </w:rPr>
              <w:t>日</w:t>
            </w:r>
            <w:r w:rsidRPr="00D04EFD">
              <w:rPr>
                <w:rFonts w:hint="eastAsia"/>
                <w:kern w:val="0"/>
                <w:sz w:val="22"/>
                <w:szCs w:val="20"/>
                <w:lang w:val="en-GB"/>
              </w:rPr>
              <w:t>欧洲议会和理事会法规</w:t>
            </w:r>
            <w:r w:rsidRPr="00D04EFD">
              <w:rPr>
                <w:kern w:val="0"/>
                <w:sz w:val="22"/>
                <w:szCs w:val="20"/>
                <w:lang w:val="en-GB"/>
              </w:rPr>
              <w:t>(EC) No 1107/2009</w:t>
            </w:r>
            <w:r w:rsidRPr="00D04EFD">
              <w:rPr>
                <w:rFonts w:hint="eastAsia"/>
                <w:kern w:val="0"/>
                <w:sz w:val="22"/>
                <w:szCs w:val="20"/>
                <w:lang w:val="en-GB"/>
              </w:rPr>
              <w:t>关于植物保护产品上市及撤销理事会指令</w:t>
            </w:r>
            <w:r w:rsidRPr="00D04EFD">
              <w:rPr>
                <w:kern w:val="0"/>
                <w:sz w:val="22"/>
                <w:szCs w:val="20"/>
                <w:lang w:val="en-GB"/>
              </w:rPr>
              <w:t xml:space="preserve">79/117/EEC </w:t>
            </w:r>
            <w:r w:rsidRPr="00D04EFD">
              <w:rPr>
                <w:rFonts w:hint="eastAsia"/>
                <w:kern w:val="0"/>
                <w:sz w:val="22"/>
                <w:szCs w:val="20"/>
                <w:lang w:val="en-GB"/>
              </w:rPr>
              <w:t>和</w:t>
            </w:r>
            <w:r w:rsidRPr="00D04EFD">
              <w:rPr>
                <w:kern w:val="0"/>
                <w:sz w:val="22"/>
                <w:szCs w:val="20"/>
                <w:lang w:val="en-GB"/>
              </w:rPr>
              <w:t xml:space="preserve"> 91/414/EEC</w:t>
            </w:r>
            <w:r w:rsidRPr="00D04EFD">
              <w:rPr>
                <w:rFonts w:hint="eastAsia"/>
                <w:kern w:val="0"/>
                <w:sz w:val="22"/>
                <w:szCs w:val="20"/>
                <w:lang w:val="en-GB"/>
              </w:rPr>
              <w:t>：</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kern w:val="0"/>
                <w:sz w:val="22"/>
                <w:szCs w:val="20"/>
                <w:lang w:val="en-GB"/>
              </w:rPr>
              <w:t>http://eur-lex.europa.eu/legal-content/EN/TXT/PDF/?uri=CELEX:32009R1107&amp;qid=1437730988988&amp;from=EN</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w:t>
            </w:r>
            <w:r w:rsidRPr="00D04EFD">
              <w:rPr>
                <w:rFonts w:hint="eastAsia"/>
                <w:kern w:val="0"/>
                <w:sz w:val="22"/>
                <w:szCs w:val="20"/>
                <w:lang w:val="en-GB"/>
              </w:rPr>
              <w:t>2011</w:t>
            </w:r>
            <w:r w:rsidRPr="00D04EFD">
              <w:rPr>
                <w:rFonts w:hint="eastAsia"/>
                <w:kern w:val="0"/>
                <w:sz w:val="22"/>
                <w:szCs w:val="20"/>
                <w:lang w:val="en-GB"/>
              </w:rPr>
              <w:t>年</w:t>
            </w:r>
            <w:r w:rsidRPr="00D04EFD">
              <w:rPr>
                <w:rFonts w:hint="eastAsia"/>
                <w:kern w:val="0"/>
                <w:sz w:val="22"/>
                <w:szCs w:val="20"/>
                <w:lang w:val="en-GB"/>
              </w:rPr>
              <w:t>5</w:t>
            </w:r>
            <w:r w:rsidRPr="00D04EFD">
              <w:rPr>
                <w:rFonts w:hint="eastAsia"/>
                <w:kern w:val="0"/>
                <w:sz w:val="22"/>
                <w:szCs w:val="20"/>
                <w:lang w:val="en-GB"/>
              </w:rPr>
              <w:t>月</w:t>
            </w:r>
            <w:r w:rsidRPr="00D04EFD">
              <w:rPr>
                <w:rFonts w:hint="eastAsia"/>
                <w:kern w:val="0"/>
                <w:sz w:val="22"/>
                <w:szCs w:val="20"/>
                <w:lang w:val="en-GB"/>
              </w:rPr>
              <w:t>25</w:t>
            </w:r>
            <w:r w:rsidRPr="00D04EFD">
              <w:rPr>
                <w:rFonts w:hint="eastAsia"/>
                <w:kern w:val="0"/>
                <w:sz w:val="22"/>
                <w:szCs w:val="20"/>
                <w:lang w:val="en-GB"/>
              </w:rPr>
              <w:t>日欧盟委员会法规实施细则</w:t>
            </w:r>
            <w:r w:rsidRPr="00D04EFD">
              <w:rPr>
                <w:spacing w:val="-2"/>
                <w:kern w:val="0"/>
                <w:sz w:val="22"/>
                <w:szCs w:val="20"/>
                <w:lang w:val="en-GB"/>
              </w:rPr>
              <w:t>(EU) No 540/2011</w:t>
            </w:r>
            <w:r w:rsidRPr="00D04EFD">
              <w:rPr>
                <w:rFonts w:hint="eastAsia"/>
                <w:kern w:val="0"/>
                <w:sz w:val="22"/>
                <w:szCs w:val="20"/>
                <w:lang w:val="en-GB"/>
              </w:rPr>
              <w:t>执行欧洲议会和理事会法规</w:t>
            </w:r>
            <w:r w:rsidRPr="00D04EFD">
              <w:rPr>
                <w:kern w:val="0"/>
                <w:sz w:val="22"/>
                <w:szCs w:val="20"/>
                <w:lang w:val="en-GB"/>
              </w:rPr>
              <w:t>(EC) No 1107/2009</w:t>
            </w:r>
            <w:r w:rsidRPr="00D04EFD">
              <w:rPr>
                <w:rFonts w:hint="eastAsia"/>
                <w:kern w:val="0"/>
                <w:sz w:val="22"/>
                <w:szCs w:val="20"/>
                <w:lang w:val="en-GB"/>
              </w:rPr>
              <w:t>关于批准的活性物质清单</w:t>
            </w:r>
            <w:r w:rsidRPr="00D04EFD">
              <w:rPr>
                <w:kern w:val="0"/>
                <w:sz w:val="22"/>
                <w:szCs w:val="20"/>
                <w:lang w:val="en-GB"/>
              </w:rPr>
              <w:t>(OJ L 153, 11.6.2011, p. 1–186)</w:t>
            </w:r>
            <w:r w:rsidRPr="00D04EFD">
              <w:rPr>
                <w:rFonts w:hint="eastAsia"/>
                <w:kern w:val="0"/>
                <w:sz w:val="22"/>
                <w:szCs w:val="20"/>
                <w:lang w:val="en-GB"/>
              </w:rPr>
              <w:t>：</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kern w:val="0"/>
                <w:sz w:val="22"/>
                <w:szCs w:val="20"/>
                <w:lang w:val="en-GB"/>
              </w:rPr>
              <w:t>http://eur-lex.europa.eu/legal-content/EN/TXT/?qid=1442928512004&amp;uri=CELEX:32011R0540</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kern w:val="0"/>
                <w:sz w:val="22"/>
                <w:szCs w:val="20"/>
                <w:lang w:val="en-GB"/>
              </w:rPr>
              <w:t>·</w:t>
            </w:r>
            <w:r w:rsidRPr="00D04EFD">
              <w:rPr>
                <w:rFonts w:hint="eastAsia"/>
                <w:kern w:val="0"/>
                <w:sz w:val="22"/>
                <w:szCs w:val="20"/>
                <w:lang w:val="en-GB"/>
              </w:rPr>
              <w:t>2011</w:t>
            </w:r>
            <w:r w:rsidRPr="00D04EFD">
              <w:rPr>
                <w:rFonts w:hint="eastAsia"/>
                <w:kern w:val="0"/>
                <w:sz w:val="22"/>
                <w:szCs w:val="20"/>
                <w:lang w:val="en-GB"/>
              </w:rPr>
              <w:t>年</w:t>
            </w:r>
            <w:r w:rsidRPr="00D04EFD">
              <w:rPr>
                <w:rFonts w:hint="eastAsia"/>
                <w:kern w:val="0"/>
                <w:sz w:val="22"/>
                <w:szCs w:val="20"/>
                <w:lang w:val="en-GB"/>
              </w:rPr>
              <w:t>7</w:t>
            </w:r>
            <w:r w:rsidRPr="00D04EFD">
              <w:rPr>
                <w:rFonts w:hint="eastAsia"/>
                <w:kern w:val="0"/>
                <w:sz w:val="22"/>
                <w:szCs w:val="20"/>
                <w:lang w:val="en-GB"/>
              </w:rPr>
              <w:t>月</w:t>
            </w:r>
            <w:r w:rsidRPr="00D04EFD">
              <w:rPr>
                <w:rFonts w:hint="eastAsia"/>
                <w:kern w:val="0"/>
                <w:sz w:val="22"/>
                <w:szCs w:val="20"/>
                <w:lang w:val="en-GB"/>
              </w:rPr>
              <w:t>26</w:t>
            </w:r>
            <w:r w:rsidRPr="00D04EFD">
              <w:rPr>
                <w:rFonts w:hint="eastAsia"/>
                <w:kern w:val="0"/>
                <w:sz w:val="22"/>
                <w:szCs w:val="20"/>
                <w:lang w:val="en-GB"/>
              </w:rPr>
              <w:t>日欧盟委员会法规实施细则</w:t>
            </w:r>
            <w:r w:rsidRPr="00D04EFD">
              <w:rPr>
                <w:kern w:val="0"/>
                <w:sz w:val="22"/>
                <w:szCs w:val="20"/>
                <w:lang w:val="en-GB"/>
              </w:rPr>
              <w:t>(EU) No 736/2011</w:t>
            </w:r>
            <w:r w:rsidRPr="00D04EFD">
              <w:rPr>
                <w:rFonts w:hint="eastAsia"/>
                <w:kern w:val="0"/>
                <w:sz w:val="22"/>
                <w:szCs w:val="20"/>
                <w:lang w:val="en-GB"/>
              </w:rPr>
              <w:t>批准活性物质氯氟</w:t>
            </w:r>
            <w:proofErr w:type="gramStart"/>
            <w:r w:rsidRPr="00D04EFD">
              <w:rPr>
                <w:rFonts w:hint="eastAsia"/>
                <w:kern w:val="0"/>
                <w:sz w:val="22"/>
                <w:szCs w:val="20"/>
                <w:lang w:val="en-GB"/>
              </w:rPr>
              <w:t>吡</w:t>
            </w:r>
            <w:proofErr w:type="gramEnd"/>
            <w:r w:rsidRPr="00D04EFD">
              <w:rPr>
                <w:rFonts w:hint="eastAsia"/>
                <w:kern w:val="0"/>
                <w:sz w:val="22"/>
                <w:szCs w:val="20"/>
                <w:lang w:val="en-GB"/>
              </w:rPr>
              <w:t>氧乙酸，依照欧洲议会和理事会法规</w:t>
            </w:r>
            <w:r w:rsidRPr="00D04EFD">
              <w:rPr>
                <w:kern w:val="0"/>
                <w:sz w:val="22"/>
                <w:szCs w:val="20"/>
                <w:lang w:val="en-GB"/>
              </w:rPr>
              <w:t>(EC) No 1107/2009</w:t>
            </w:r>
            <w:r w:rsidRPr="00D04EFD">
              <w:rPr>
                <w:rFonts w:hint="eastAsia"/>
                <w:kern w:val="0"/>
                <w:sz w:val="22"/>
                <w:szCs w:val="20"/>
                <w:lang w:val="en-GB"/>
              </w:rPr>
              <w:t>关于植物保护产品上市，及修订欧盟委员会法规实施细则</w:t>
            </w:r>
            <w:r w:rsidRPr="00D04EFD">
              <w:rPr>
                <w:spacing w:val="-2"/>
                <w:kern w:val="0"/>
                <w:sz w:val="22"/>
                <w:szCs w:val="20"/>
                <w:lang w:val="en-GB"/>
              </w:rPr>
              <w:t>(EU) No 540/2011</w:t>
            </w:r>
            <w:r w:rsidRPr="00D04EFD">
              <w:rPr>
                <w:rFonts w:hint="eastAsia"/>
                <w:spacing w:val="-2"/>
                <w:kern w:val="0"/>
                <w:sz w:val="22"/>
                <w:szCs w:val="20"/>
                <w:lang w:val="en-GB"/>
              </w:rPr>
              <w:t>附录</w:t>
            </w:r>
            <w:r w:rsidRPr="00D04EFD">
              <w:rPr>
                <w:rFonts w:hint="eastAsia"/>
                <w:kern w:val="0"/>
                <w:sz w:val="22"/>
                <w:szCs w:val="20"/>
                <w:lang w:val="en-GB"/>
              </w:rPr>
              <w:t>：</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kern w:val="0"/>
                <w:sz w:val="22"/>
                <w:szCs w:val="20"/>
                <w:lang w:val="en-GB"/>
              </w:rPr>
              <w:t>http://eur-lex.europa.eu/legal-content/EN/ALL/?uri=CELEX:32011R0736</w:t>
            </w:r>
          </w:p>
          <w:p w:rsidR="00D04EFD" w:rsidRPr="00D04EFD" w:rsidRDefault="00D04EFD" w:rsidP="00D04EFD">
            <w:pPr>
              <w:widowControl/>
              <w:tabs>
                <w:tab w:val="left" w:pos="720"/>
              </w:tabs>
              <w:spacing w:line="276" w:lineRule="auto"/>
              <w:ind w:firstLineChars="0" w:firstLine="0"/>
              <w:rPr>
                <w:rFonts w:hint="eastAsia"/>
                <w:kern w:val="0"/>
                <w:sz w:val="22"/>
                <w:szCs w:val="20"/>
                <w:lang w:val="fr-BE"/>
              </w:rPr>
            </w:pPr>
            <w:r w:rsidRPr="00D04EFD">
              <w:rPr>
                <w:rFonts w:hint="eastAsia"/>
                <w:kern w:val="0"/>
                <w:sz w:val="22"/>
                <w:szCs w:val="20"/>
                <w:lang w:val="en-GB"/>
              </w:rPr>
              <w:t>·欧洲食品安全局</w:t>
            </w:r>
            <w:r w:rsidRPr="00D04EFD">
              <w:rPr>
                <w:rFonts w:hint="eastAsia"/>
                <w:kern w:val="0"/>
                <w:sz w:val="22"/>
                <w:szCs w:val="20"/>
                <w:lang w:val="en-GB"/>
              </w:rPr>
              <w:t>(EFSA)2015</w:t>
            </w:r>
            <w:r w:rsidRPr="00D04EFD">
              <w:rPr>
                <w:rFonts w:hint="eastAsia"/>
                <w:kern w:val="0"/>
                <w:sz w:val="22"/>
                <w:szCs w:val="20"/>
                <w:lang w:val="en-GB"/>
              </w:rPr>
              <w:t>。成员国、申请人和</w:t>
            </w:r>
            <w:r w:rsidRPr="00D04EFD">
              <w:rPr>
                <w:rFonts w:hint="eastAsia"/>
                <w:kern w:val="0"/>
                <w:sz w:val="22"/>
                <w:szCs w:val="20"/>
                <w:lang w:val="en-GB"/>
              </w:rPr>
              <w:t>EFSA</w:t>
            </w:r>
            <w:proofErr w:type="gramStart"/>
            <w:r w:rsidRPr="00D04EFD">
              <w:rPr>
                <w:rFonts w:hint="eastAsia"/>
                <w:kern w:val="0"/>
                <w:sz w:val="22"/>
                <w:szCs w:val="20"/>
                <w:lang w:val="en-GB"/>
              </w:rPr>
              <w:t>就氯氟吡</w:t>
            </w:r>
            <w:proofErr w:type="gramEnd"/>
            <w:r w:rsidRPr="00D04EFD">
              <w:rPr>
                <w:rFonts w:hint="eastAsia"/>
                <w:kern w:val="0"/>
                <w:sz w:val="22"/>
                <w:szCs w:val="20"/>
                <w:lang w:val="en-GB"/>
              </w:rPr>
              <w:t>氧乙酸杀虫剂风险评估验证数据的磋商结果技术报告。</w:t>
            </w:r>
            <w:r w:rsidRPr="00D04EFD">
              <w:rPr>
                <w:kern w:val="0"/>
                <w:sz w:val="22"/>
                <w:szCs w:val="20"/>
                <w:lang w:val="fr-BE" w:eastAsia="fr-BE"/>
              </w:rPr>
              <w:t>EFSA</w:t>
            </w:r>
            <w:r w:rsidRPr="00D04EFD">
              <w:rPr>
                <w:rFonts w:hint="eastAsia"/>
                <w:kern w:val="0"/>
                <w:sz w:val="22"/>
                <w:szCs w:val="20"/>
                <w:lang w:val="fr-BE"/>
              </w:rPr>
              <w:t>支持出版物</w:t>
            </w:r>
            <w:r w:rsidRPr="00D04EFD">
              <w:rPr>
                <w:kern w:val="0"/>
                <w:sz w:val="22"/>
                <w:szCs w:val="20"/>
                <w:lang w:val="fr-BE" w:eastAsia="fr-BE"/>
              </w:rPr>
              <w:t>2015:EN-857.43pp.: http://onlinelibrary.wiley.com/doi/10.2903/sp.efsa.2015.EN-857/abstract</w:t>
            </w:r>
          </w:p>
        </w:tc>
      </w:tr>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bookmarkStart w:id="0" w:name="_GoBack" w:colFirst="2" w:colLast="2"/>
            <w:r w:rsidRPr="00D04EFD">
              <w:rPr>
                <w:b/>
                <w:kern w:val="0"/>
                <w:sz w:val="22"/>
                <w:szCs w:val="20"/>
                <w:lang w:val="en-GB"/>
              </w:rPr>
              <w:lastRenderedPageBreak/>
              <w:t>9.</w:t>
            </w:r>
          </w:p>
        </w:tc>
        <w:tc>
          <w:tcPr>
            <w:tcW w:w="1827"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b/>
                <w:kern w:val="0"/>
                <w:sz w:val="22"/>
                <w:szCs w:val="20"/>
                <w:lang w:val="en-GB"/>
              </w:rPr>
            </w:pPr>
            <w:r w:rsidRPr="00D04EFD">
              <w:rPr>
                <w:rFonts w:hint="eastAsia"/>
                <w:b/>
                <w:kern w:val="0"/>
                <w:sz w:val="22"/>
                <w:szCs w:val="20"/>
                <w:lang w:val="en-GB"/>
              </w:rPr>
              <w:t>拟批准日期</w:t>
            </w:r>
            <w:r w:rsidRPr="00D04EFD">
              <w:rPr>
                <w:b/>
                <w:kern w:val="0"/>
                <w:sz w:val="22"/>
                <w:szCs w:val="20"/>
                <w:lang w:val="en-GB"/>
              </w:rPr>
              <w:t xml:space="preserve">:  </w:t>
            </w:r>
          </w:p>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拟生效日期</w:t>
            </w:r>
            <w:r w:rsidRPr="00D04EFD">
              <w:rPr>
                <w:b/>
                <w:kern w:val="0"/>
                <w:sz w:val="22"/>
                <w:szCs w:val="20"/>
                <w:lang w:val="en-GB"/>
              </w:rPr>
              <w:t xml:space="preserve">: </w:t>
            </w:r>
            <w:r w:rsidRPr="00D04EFD">
              <w:rPr>
                <w:rFonts w:hint="eastAsia"/>
                <w:b/>
                <w:kern w:val="0"/>
                <w:sz w:val="22"/>
                <w:szCs w:val="20"/>
                <w:lang w:val="en-GB"/>
              </w:rPr>
              <w:t xml:space="preserve"> </w:t>
            </w:r>
          </w:p>
        </w:tc>
        <w:tc>
          <w:tcPr>
            <w:tcW w:w="5842"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spacing w:val="-2"/>
                <w:kern w:val="0"/>
                <w:sz w:val="22"/>
                <w:lang w:val="en-GB"/>
              </w:rPr>
              <w:t>201</w:t>
            </w:r>
            <w:r w:rsidRPr="00D04EFD">
              <w:rPr>
                <w:rFonts w:hint="eastAsia"/>
                <w:spacing w:val="-2"/>
                <w:kern w:val="0"/>
                <w:sz w:val="22"/>
                <w:lang w:val="en-GB"/>
              </w:rPr>
              <w:t>7</w:t>
            </w:r>
            <w:r w:rsidRPr="00D04EFD">
              <w:rPr>
                <w:rFonts w:hint="eastAsia"/>
                <w:spacing w:val="-2"/>
                <w:kern w:val="0"/>
                <w:sz w:val="22"/>
                <w:lang w:val="en-GB"/>
              </w:rPr>
              <w:t>年</w:t>
            </w:r>
            <w:r w:rsidRPr="00D04EFD">
              <w:rPr>
                <w:rFonts w:hint="eastAsia"/>
                <w:spacing w:val="-2"/>
                <w:kern w:val="0"/>
                <w:sz w:val="22"/>
                <w:lang w:val="en-GB"/>
              </w:rPr>
              <w:t>2</w:t>
            </w:r>
            <w:r w:rsidRPr="00D04EFD">
              <w:rPr>
                <w:rFonts w:hint="eastAsia"/>
                <w:spacing w:val="-2"/>
                <w:kern w:val="0"/>
                <w:sz w:val="22"/>
                <w:lang w:val="en-GB"/>
              </w:rPr>
              <w:t>季度</w:t>
            </w:r>
          </w:p>
          <w:p w:rsidR="00D04EFD" w:rsidRPr="00D04EFD" w:rsidRDefault="00D04EFD" w:rsidP="00D04EFD">
            <w:pPr>
              <w:widowControl/>
              <w:tabs>
                <w:tab w:val="left" w:pos="720"/>
              </w:tabs>
              <w:spacing w:line="276" w:lineRule="auto"/>
              <w:ind w:firstLineChars="0" w:firstLine="0"/>
              <w:rPr>
                <w:rFonts w:hint="eastAsia"/>
                <w:spacing w:val="-2"/>
                <w:kern w:val="0"/>
                <w:sz w:val="22"/>
                <w:lang w:val="en-GB"/>
              </w:rPr>
            </w:pPr>
            <w:r w:rsidRPr="00D04EFD">
              <w:rPr>
                <w:rFonts w:hint="eastAsia"/>
                <w:spacing w:val="-2"/>
                <w:kern w:val="0"/>
                <w:sz w:val="22"/>
                <w:lang w:val="en-GB"/>
              </w:rPr>
              <w:t>在欧盟官方公报上公布之后</w:t>
            </w:r>
            <w:r w:rsidRPr="00D04EFD">
              <w:rPr>
                <w:rFonts w:hint="eastAsia"/>
                <w:spacing w:val="-2"/>
                <w:kern w:val="0"/>
                <w:sz w:val="22"/>
                <w:lang w:val="en-GB"/>
              </w:rPr>
              <w:t>20</w:t>
            </w:r>
            <w:r w:rsidRPr="00D04EFD">
              <w:rPr>
                <w:rFonts w:hint="eastAsia"/>
                <w:spacing w:val="-2"/>
                <w:kern w:val="0"/>
                <w:sz w:val="22"/>
                <w:lang w:val="en-GB"/>
              </w:rPr>
              <w:t>天（生效后</w:t>
            </w:r>
            <w:r w:rsidRPr="00D04EFD">
              <w:rPr>
                <w:rFonts w:hint="eastAsia"/>
                <w:spacing w:val="-2"/>
                <w:kern w:val="0"/>
                <w:sz w:val="22"/>
                <w:lang w:val="en-GB"/>
              </w:rPr>
              <w:t>3</w:t>
            </w:r>
            <w:r w:rsidRPr="00D04EFD">
              <w:rPr>
                <w:rFonts w:hint="eastAsia"/>
                <w:spacing w:val="-2"/>
                <w:kern w:val="0"/>
                <w:sz w:val="22"/>
                <w:lang w:val="en-GB"/>
              </w:rPr>
              <w:t>个月内修订或撤销现有授权）</w:t>
            </w:r>
          </w:p>
        </w:tc>
      </w:tr>
      <w:bookmarkEnd w:id="0"/>
      <w:tr w:rsidR="00D04EFD" w:rsidRPr="00D04EFD" w:rsidTr="00D04EFD">
        <w:trPr>
          <w:jc w:val="center"/>
        </w:trPr>
        <w:tc>
          <w:tcPr>
            <w:tcW w:w="666" w:type="dxa"/>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10.</w:t>
            </w:r>
          </w:p>
        </w:tc>
        <w:tc>
          <w:tcPr>
            <w:tcW w:w="7669" w:type="dxa"/>
            <w:gridSpan w:val="2"/>
            <w:tcBorders>
              <w:top w:val="single" w:sz="4" w:space="0" w:color="auto"/>
              <w:bottom w:val="sing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提意见截止日期</w:t>
            </w:r>
            <w:r w:rsidRPr="00D04EFD">
              <w:rPr>
                <w:b/>
                <w:kern w:val="0"/>
                <w:sz w:val="22"/>
                <w:szCs w:val="20"/>
                <w:lang w:val="en-GB"/>
              </w:rPr>
              <w:t>:</w:t>
            </w:r>
            <w:r w:rsidRPr="00D04EFD">
              <w:rPr>
                <w:kern w:val="0"/>
                <w:sz w:val="22"/>
                <w:szCs w:val="20"/>
                <w:lang w:val="en-GB"/>
              </w:rPr>
              <w:t xml:space="preserve"> </w:t>
            </w:r>
            <w:r w:rsidRPr="00D04EFD">
              <w:rPr>
                <w:rFonts w:hint="eastAsia"/>
                <w:kern w:val="0"/>
                <w:sz w:val="22"/>
                <w:szCs w:val="20"/>
                <w:lang w:val="en-GB"/>
              </w:rPr>
              <w:t>通报之后</w:t>
            </w:r>
            <w:r w:rsidRPr="00D04EFD">
              <w:rPr>
                <w:rFonts w:hint="eastAsia"/>
                <w:kern w:val="0"/>
                <w:sz w:val="22"/>
                <w:szCs w:val="20"/>
                <w:lang w:val="en-GB"/>
              </w:rPr>
              <w:t>60</w:t>
            </w:r>
            <w:r w:rsidRPr="00D04EFD">
              <w:rPr>
                <w:rFonts w:hint="eastAsia"/>
                <w:kern w:val="0"/>
                <w:sz w:val="22"/>
                <w:szCs w:val="20"/>
                <w:lang w:val="en-GB"/>
              </w:rPr>
              <w:t>天</w:t>
            </w:r>
          </w:p>
        </w:tc>
      </w:tr>
      <w:tr w:rsidR="00D04EFD" w:rsidRPr="00D04EFD" w:rsidTr="00D04EFD">
        <w:trPr>
          <w:jc w:val="center"/>
        </w:trPr>
        <w:tc>
          <w:tcPr>
            <w:tcW w:w="666" w:type="dxa"/>
            <w:tcBorders>
              <w:top w:val="single" w:sz="4" w:space="0" w:color="auto"/>
              <w:bottom w:val="double" w:sz="4" w:space="0" w:color="auto"/>
            </w:tcBorders>
          </w:tcPr>
          <w:p w:rsidR="00D04EFD" w:rsidRPr="00D04EFD" w:rsidRDefault="00D04EFD" w:rsidP="00D04EFD">
            <w:pPr>
              <w:widowControl/>
              <w:tabs>
                <w:tab w:val="left" w:pos="720"/>
              </w:tabs>
              <w:spacing w:line="276" w:lineRule="auto"/>
              <w:ind w:firstLineChars="0" w:firstLine="0"/>
              <w:rPr>
                <w:b/>
                <w:kern w:val="0"/>
                <w:sz w:val="22"/>
                <w:szCs w:val="20"/>
                <w:lang w:val="en-GB"/>
              </w:rPr>
            </w:pPr>
            <w:r w:rsidRPr="00D04EFD">
              <w:rPr>
                <w:b/>
                <w:kern w:val="0"/>
                <w:sz w:val="22"/>
                <w:szCs w:val="20"/>
                <w:lang w:val="en-GB"/>
              </w:rPr>
              <w:t>11.</w:t>
            </w:r>
          </w:p>
        </w:tc>
        <w:tc>
          <w:tcPr>
            <w:tcW w:w="7669" w:type="dxa"/>
            <w:gridSpan w:val="2"/>
            <w:tcBorders>
              <w:top w:val="single" w:sz="4" w:space="0" w:color="auto"/>
              <w:bottom w:val="double" w:sz="4" w:space="0" w:color="auto"/>
            </w:tcBorders>
          </w:tcPr>
          <w:p w:rsidR="00D04EFD" w:rsidRPr="00D04EFD" w:rsidRDefault="00D04EFD" w:rsidP="00D04EFD">
            <w:pPr>
              <w:widowControl/>
              <w:tabs>
                <w:tab w:val="left" w:pos="720"/>
              </w:tabs>
              <w:spacing w:line="276" w:lineRule="auto"/>
              <w:ind w:firstLineChars="0" w:firstLine="0"/>
              <w:rPr>
                <w:rFonts w:hint="eastAsia"/>
                <w:kern w:val="0"/>
                <w:sz w:val="22"/>
                <w:szCs w:val="20"/>
                <w:lang w:val="en-GB"/>
              </w:rPr>
            </w:pPr>
            <w:r w:rsidRPr="00D04EFD">
              <w:rPr>
                <w:rFonts w:hint="eastAsia"/>
                <w:b/>
                <w:kern w:val="0"/>
                <w:sz w:val="22"/>
                <w:szCs w:val="20"/>
                <w:lang w:val="en-GB"/>
              </w:rPr>
              <w:t>文本可从以下机构得到：国家咨询点</w:t>
            </w:r>
            <w:r w:rsidRPr="00D04EFD">
              <w:rPr>
                <w:b/>
                <w:kern w:val="0"/>
                <w:sz w:val="22"/>
                <w:szCs w:val="20"/>
                <w:lang w:val="en-GB"/>
              </w:rPr>
              <w:t xml:space="preserve"> [</w:t>
            </w:r>
            <w:r w:rsidRPr="00D04EFD">
              <w:rPr>
                <w:kern w:val="0"/>
                <w:sz w:val="22"/>
                <w:szCs w:val="20"/>
                <w:lang w:val="en-GB"/>
              </w:rPr>
              <w:t>X</w:t>
            </w:r>
            <w:r w:rsidRPr="00D04EFD">
              <w:rPr>
                <w:b/>
                <w:kern w:val="0"/>
                <w:sz w:val="22"/>
                <w:szCs w:val="20"/>
                <w:lang w:val="en-GB"/>
              </w:rPr>
              <w:t xml:space="preserve">] </w:t>
            </w:r>
            <w:r w:rsidRPr="00D04EFD">
              <w:rPr>
                <w:rFonts w:hint="eastAsia"/>
                <w:b/>
                <w:kern w:val="0"/>
                <w:sz w:val="22"/>
                <w:szCs w:val="20"/>
                <w:lang w:val="en-GB"/>
              </w:rPr>
              <w:t>或其他机构，地址、</w:t>
            </w:r>
            <w:r w:rsidRPr="00D04EFD">
              <w:rPr>
                <w:b/>
                <w:kern w:val="0"/>
                <w:sz w:val="22"/>
                <w:szCs w:val="20"/>
                <w:lang w:val="en-GB"/>
              </w:rPr>
              <w:t xml:space="preserve"> </w:t>
            </w:r>
            <w:r w:rsidRPr="00D04EFD">
              <w:rPr>
                <w:rFonts w:hint="eastAsia"/>
                <w:b/>
                <w:kern w:val="0"/>
                <w:sz w:val="22"/>
                <w:szCs w:val="20"/>
                <w:lang w:val="en-GB"/>
              </w:rPr>
              <w:t>电话和传真号</w:t>
            </w:r>
            <w:r w:rsidRPr="00D04EFD">
              <w:rPr>
                <w:b/>
                <w:kern w:val="0"/>
                <w:sz w:val="22"/>
                <w:szCs w:val="20"/>
                <w:lang w:val="en-GB"/>
              </w:rPr>
              <w:t xml:space="preserve">, e-mail </w:t>
            </w:r>
            <w:r w:rsidRPr="00D04EFD">
              <w:rPr>
                <w:rFonts w:hint="eastAsia"/>
                <w:b/>
                <w:kern w:val="0"/>
                <w:sz w:val="22"/>
                <w:szCs w:val="20"/>
                <w:lang w:val="en-GB"/>
              </w:rPr>
              <w:t>地址和网址</w:t>
            </w:r>
            <w:r w:rsidRPr="00D04EFD">
              <w:rPr>
                <w:b/>
                <w:kern w:val="0"/>
                <w:sz w:val="22"/>
                <w:szCs w:val="20"/>
                <w:lang w:val="en-GB"/>
              </w:rPr>
              <w:t xml:space="preserve">:  </w:t>
            </w:r>
          </w:p>
        </w:tc>
      </w:tr>
    </w:tbl>
    <w:p w:rsidR="00E71A1C" w:rsidRPr="00D04EFD" w:rsidRDefault="00E71A1C">
      <w:pPr>
        <w:ind w:firstLine="420"/>
        <w:rPr>
          <w:lang w:val="en-GB"/>
        </w:rPr>
      </w:pPr>
    </w:p>
    <w:sectPr w:rsidR="00E71A1C" w:rsidRPr="00D04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FD"/>
    <w:rsid w:val="00005CDE"/>
    <w:rsid w:val="00101CA4"/>
    <w:rsid w:val="007B5227"/>
    <w:rsid w:val="008F706D"/>
    <w:rsid w:val="00927B4B"/>
    <w:rsid w:val="00A818EC"/>
    <w:rsid w:val="00B71B5E"/>
    <w:rsid w:val="00C57487"/>
    <w:rsid w:val="00C94A9D"/>
    <w:rsid w:val="00D04EFD"/>
    <w:rsid w:val="00D12395"/>
    <w:rsid w:val="00D52561"/>
    <w:rsid w:val="00E7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BB05EDB3-5878-42AA-BD22-393E44D4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1132</Characters>
  <Application>Microsoft Office Word</Application>
  <DocSecurity>0</DocSecurity>
  <Lines>56</Lines>
  <Paragraphs>61</Paragraphs>
  <ScaleCrop>false</ScaleCrop>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2017-01-20T08:44:00Z</dcterms:created>
  <dcterms:modified xsi:type="dcterms:W3CDTF">2017-01-20T08:45:00Z</dcterms:modified>
</cp:coreProperties>
</file>