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1C733E" w:rsidTr="00495A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1C733E" w:rsidRDefault="001C733E" w:rsidP="00495A2F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1C733E" w:rsidRDefault="001C733E" w:rsidP="00495A2F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</w:tcPr>
          <w:p w:rsidR="001C733E" w:rsidRDefault="001C733E" w:rsidP="00495A2F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1C733E" w:rsidTr="00495A2F">
        <w:tblPrEx>
          <w:tblCellMar>
            <w:top w:w="0" w:type="dxa"/>
            <w:bottom w:w="0" w:type="dxa"/>
          </w:tblCellMar>
        </w:tblPrEx>
        <w:trPr>
          <w:trHeight w:hRule="exact" w:val="167"/>
          <w:jc w:val="center"/>
        </w:trPr>
        <w:tc>
          <w:tcPr>
            <w:tcW w:w="6443" w:type="dxa"/>
            <w:vMerge/>
          </w:tcPr>
          <w:p w:rsidR="001C733E" w:rsidRDefault="001C733E" w:rsidP="00495A2F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1C733E" w:rsidRDefault="001C733E" w:rsidP="00495A2F">
            <w:pPr>
              <w:adjustRightInd w:val="0"/>
              <w:snapToGrid w:val="0"/>
              <w:jc w:val="left"/>
            </w:pPr>
          </w:p>
        </w:tc>
      </w:tr>
      <w:tr w:rsidR="001C733E" w:rsidTr="00495A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1C733E" w:rsidRDefault="001C733E" w:rsidP="00495A2F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1C733E" w:rsidRDefault="001C733E" w:rsidP="00495A2F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rFonts w:hint="eastAsia"/>
                <w:b/>
              </w:rPr>
              <w:t>422</w:t>
            </w:r>
          </w:p>
          <w:p w:rsidR="001C733E" w:rsidRDefault="001C733E" w:rsidP="00495A2F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</w:tr>
      <w:tr w:rsidR="001C733E" w:rsidTr="00495A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310031">
              <w:rPr>
                <w:sz w:val="18"/>
                <w:szCs w:val="18"/>
              </w:rPr>
              <w:t>6245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1C733E" w:rsidTr="00495A2F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1C733E" w:rsidRDefault="001C733E" w:rsidP="00495A2F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1C733E" w:rsidRDefault="001C733E" w:rsidP="00495A2F">
            <w:pPr>
              <w:adjustRightInd w:val="0"/>
              <w:snapToGrid w:val="0"/>
              <w:jc w:val="left"/>
            </w:pPr>
          </w:p>
        </w:tc>
      </w:tr>
      <w:tr w:rsidR="001C733E" w:rsidTr="00495A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1C733E" w:rsidRDefault="001C733E" w:rsidP="00495A2F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1C733E" w:rsidRDefault="001C733E" w:rsidP="00495A2F">
            <w:pPr>
              <w:pStyle w:val="aa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1C733E" w:rsidRDefault="001C733E" w:rsidP="00495A2F"/>
    <w:p w:rsidR="001C733E" w:rsidRDefault="001C733E" w:rsidP="00495A2F">
      <w:pPr>
        <w:pStyle w:val="a8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1C733E" w:rsidRDefault="001C733E" w:rsidP="00495A2F"/>
    <w:p w:rsidR="001C733E" w:rsidRDefault="001C733E" w:rsidP="00495A2F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1C733E" w:rsidRDefault="001C733E" w:rsidP="00495A2F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52"/>
        <w:gridCol w:w="1941"/>
        <w:gridCol w:w="5842"/>
      </w:tblGrid>
      <w:tr w:rsidR="001C733E" w:rsidTr="00B058CB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78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1C733E" w:rsidRDefault="001C733E" w:rsidP="00495A2F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1C733E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Pr="00880BC0" w:rsidRDefault="001C733E" w:rsidP="00495A2F">
            <w:pPr>
              <w:pStyle w:val="a9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1C733E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 w:rsidR="00495A2F"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</w:t>
            </w:r>
            <w:r w:rsidR="00495A2F">
              <w:t xml:space="preserve"> 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</w:p>
        </w:tc>
      </w:tr>
      <w:tr w:rsidR="001C733E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Pr="00E4686B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310031">
              <w:rPr>
                <w:rFonts w:hint="eastAsia"/>
              </w:rPr>
              <w:t>乙氧氟草醚</w:t>
            </w:r>
            <w:r>
              <w:rPr>
                <w:rFonts w:hint="eastAsia"/>
              </w:rPr>
              <w:t>（杀虫剂活性物质）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1C733E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Pr="008B5EDC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法规实施细则草案，修订关于活性物质</w:t>
            </w:r>
            <w:r w:rsidRPr="00310031">
              <w:rPr>
                <w:rFonts w:hint="eastAsia"/>
              </w:rPr>
              <w:t>乙氧氟草</w:t>
            </w:r>
            <w:proofErr w:type="gramStart"/>
            <w:r w:rsidRPr="00310031">
              <w:rPr>
                <w:rFonts w:hint="eastAsia"/>
              </w:rPr>
              <w:t>醚</w:t>
            </w:r>
            <w:r>
              <w:rPr>
                <w:rFonts w:hint="eastAsia"/>
              </w:rPr>
              <w:t>批准</w:t>
            </w:r>
            <w:proofErr w:type="gramEnd"/>
            <w:r>
              <w:rPr>
                <w:rFonts w:hint="eastAsia"/>
              </w:rPr>
              <w:t>条件的法规实施细则</w:t>
            </w:r>
            <w:r w:rsidRPr="00425343">
              <w:rPr>
                <w:spacing w:val="-2"/>
              </w:rPr>
              <w:t>(EU) No 540/2011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+2</w:t>
            </w:r>
            <w:r>
              <w:rPr>
                <w:rFonts w:hint="eastAsia"/>
              </w:rPr>
              <w:t>页附录，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1C733E" w:rsidRPr="00CF2612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法规实施细则草案规定活性物质</w:t>
            </w:r>
            <w:r w:rsidRPr="00310031">
              <w:rPr>
                <w:rFonts w:hint="eastAsia"/>
              </w:rPr>
              <w:t>乙氧氟</w:t>
            </w:r>
            <w:proofErr w:type="gramStart"/>
            <w:r w:rsidRPr="00310031">
              <w:rPr>
                <w:rFonts w:hint="eastAsia"/>
              </w:rPr>
              <w:t>草醚</w:t>
            </w:r>
            <w:r>
              <w:rPr>
                <w:rFonts w:hint="eastAsia"/>
              </w:rPr>
              <w:t>的批准</w:t>
            </w:r>
            <w:proofErr w:type="gramEnd"/>
            <w:r>
              <w:rPr>
                <w:rFonts w:hint="eastAsia"/>
              </w:rPr>
              <w:t>条件已经修订。现已授权的含</w:t>
            </w:r>
            <w:r w:rsidRPr="00310031">
              <w:rPr>
                <w:rFonts w:hint="eastAsia"/>
              </w:rPr>
              <w:t>乙氧氟草醚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将改进或从市场上撤销。修订基于依照法规</w:t>
            </w:r>
            <w:r>
              <w:t>(EC) No 1107/2009</w:t>
            </w:r>
            <w:r>
              <w:rPr>
                <w:rFonts w:hint="eastAsia"/>
              </w:rPr>
              <w:t>批准该物质在欧盟作为杀虫剂活性物质使用后提交的</w:t>
            </w:r>
            <w:r w:rsidRPr="00857CD2">
              <w:rPr>
                <w:rFonts w:hint="eastAsia"/>
              </w:rPr>
              <w:t>验证</w:t>
            </w:r>
            <w:r>
              <w:rPr>
                <w:rFonts w:hint="eastAsia"/>
              </w:rPr>
              <w:t>信息的评估。</w:t>
            </w:r>
          </w:p>
          <w:p w:rsidR="001C733E" w:rsidRPr="001B5713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此项具体决议仅涉及该物质的上市，不影响杀虫剂最大残留（</w:t>
            </w:r>
            <w:r>
              <w:t>MRLs</w:t>
            </w:r>
            <w:r>
              <w:rPr>
                <w:rFonts w:hint="eastAsia"/>
              </w:rPr>
              <w:t>）。</w:t>
            </w:r>
          </w:p>
        </w:tc>
      </w:tr>
      <w:tr w:rsidR="001C733E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Cs/>
                <w:spacing w:val="-2"/>
                <w:szCs w:val="22"/>
              </w:rPr>
              <w:t>保护人类健康安全；保护动植物生命健康；保护环境。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72588">
              <w:rPr>
                <w:rFonts w:hint="eastAsia"/>
              </w:rPr>
              <w:t>在</w:t>
            </w:r>
            <w:r>
              <w:rPr>
                <w:rFonts w:hint="eastAsia"/>
              </w:rPr>
              <w:t>批准（</w:t>
            </w:r>
            <w:r w:rsidRPr="00526ED6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法规实施细则</w:t>
            </w:r>
            <w:r>
              <w:t>(EU) No 798/2011</w:t>
            </w:r>
            <w:r>
              <w:rPr>
                <w:rFonts w:hint="eastAsia"/>
              </w:rPr>
              <w:t>）后</w:t>
            </w:r>
            <w:r w:rsidRPr="00472588">
              <w:rPr>
                <w:rFonts w:hint="eastAsia"/>
              </w:rPr>
              <w:t>的</w:t>
            </w:r>
            <w:r w:rsidRPr="00310031">
              <w:rPr>
                <w:rFonts w:hint="eastAsia"/>
              </w:rPr>
              <w:t>乙氧氟草醚</w:t>
            </w:r>
            <w:r>
              <w:rPr>
                <w:rFonts w:hint="eastAsia"/>
              </w:rPr>
              <w:t>验证数据</w:t>
            </w:r>
            <w:r w:rsidRPr="00472588">
              <w:rPr>
                <w:rFonts w:hint="eastAsia"/>
              </w:rPr>
              <w:t>评估和同业评审过程中，</w:t>
            </w:r>
            <w:r>
              <w:rPr>
                <w:rFonts w:hint="eastAsia"/>
              </w:rPr>
              <w:t>确定了在接触</w:t>
            </w:r>
            <w:r w:rsidRPr="00FD2E23">
              <w:rPr>
                <w:rFonts w:hint="eastAsia"/>
              </w:rPr>
              <w:t>母体物质及其代谢产物</w:t>
            </w:r>
            <w:r>
              <w:rPr>
                <w:rFonts w:hint="eastAsia"/>
              </w:rPr>
              <w:t>时对</w:t>
            </w:r>
            <w:r w:rsidRPr="00FD2E23">
              <w:rPr>
                <w:rFonts w:hint="eastAsia"/>
              </w:rPr>
              <w:t>水生生物</w:t>
            </w:r>
            <w:r>
              <w:rPr>
                <w:rFonts w:hint="eastAsia"/>
              </w:rPr>
              <w:t>存在高风险。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月公布的</w:t>
            </w:r>
            <w:r w:rsidRPr="00740789">
              <w:rPr>
                <w:rFonts w:hint="eastAsia"/>
              </w:rPr>
              <w:t>欧洲食品安全局</w:t>
            </w:r>
            <w:r w:rsidRPr="00740789">
              <w:rPr>
                <w:rFonts w:hint="eastAsia"/>
              </w:rPr>
              <w:t>(EFSA)</w:t>
            </w:r>
            <w:r>
              <w:rPr>
                <w:rFonts w:hint="eastAsia"/>
              </w:rPr>
              <w:t>的结论中作为应当重点关注考虑的问题说明了这一点。</w:t>
            </w:r>
          </w:p>
          <w:p w:rsidR="001C733E" w:rsidRPr="004D75CF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为了确保保护</w:t>
            </w:r>
            <w:r w:rsidRPr="00FD2E23">
              <w:rPr>
                <w:rFonts w:hint="eastAsia"/>
              </w:rPr>
              <w:t>水生生物</w:t>
            </w:r>
            <w:r>
              <w:rPr>
                <w:rFonts w:hint="eastAsia"/>
              </w:rPr>
              <w:t>，必须修订批准条件以包括等级限制（</w:t>
            </w:r>
            <w:r w:rsidRPr="00FD2E23">
              <w:rPr>
                <w:rFonts w:hint="eastAsia"/>
              </w:rPr>
              <w:t>每年每公顷</w:t>
            </w:r>
            <w:r>
              <w:rPr>
                <w:rFonts w:hint="eastAsia"/>
              </w:rPr>
              <w:t>最高等级</w:t>
            </w:r>
            <w:r>
              <w:rPr>
                <w:rFonts w:hint="eastAsia"/>
              </w:rPr>
              <w:t>150g</w:t>
            </w:r>
            <w:r>
              <w:rPr>
                <w:rFonts w:hint="eastAsia"/>
              </w:rPr>
              <w:t>活性物质）。在此等级下使用证明</w:t>
            </w:r>
            <w:r w:rsidRPr="00FD2E23">
              <w:rPr>
                <w:rFonts w:hint="eastAsia"/>
              </w:rPr>
              <w:t>水生生物</w:t>
            </w:r>
            <w:r>
              <w:rPr>
                <w:rFonts w:hint="eastAsia"/>
              </w:rPr>
              <w:t>能够接受。此外，在批准时必须包括更多减缓措施的引用。</w:t>
            </w:r>
          </w:p>
          <w:p w:rsidR="001C733E" w:rsidRPr="008B5EDC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现有授权需要修订或撤销；</w:t>
            </w:r>
            <w:r w:rsidRPr="00DB4465">
              <w:rPr>
                <w:rFonts w:hint="eastAsia"/>
              </w:rPr>
              <w:t>成员国必须最迟在法规生效</w:t>
            </w:r>
            <w:r w:rsidRPr="00DB4465">
              <w:rPr>
                <w:rFonts w:hint="eastAsia"/>
              </w:rPr>
              <w:t>3</w:t>
            </w:r>
            <w:r w:rsidRPr="00DB4465">
              <w:rPr>
                <w:rFonts w:hint="eastAsia"/>
              </w:rPr>
              <w:t>个月内</w:t>
            </w:r>
            <w:r>
              <w:rPr>
                <w:rFonts w:hint="eastAsia"/>
              </w:rPr>
              <w:t>修订或</w:t>
            </w:r>
            <w:r w:rsidRPr="00DB4465">
              <w:rPr>
                <w:rFonts w:hint="eastAsia"/>
              </w:rPr>
              <w:t>撤销现有包含</w:t>
            </w:r>
            <w:r w:rsidRPr="00310031">
              <w:rPr>
                <w:rFonts w:hint="eastAsia"/>
              </w:rPr>
              <w:t>乙氧氟</w:t>
            </w:r>
            <w:proofErr w:type="gramStart"/>
            <w:r w:rsidRPr="00310031">
              <w:rPr>
                <w:rFonts w:hint="eastAsia"/>
              </w:rPr>
              <w:t>草醚</w:t>
            </w:r>
            <w:r w:rsidRPr="00DB4465">
              <w:rPr>
                <w:rFonts w:hint="eastAsia"/>
              </w:rPr>
              <w:t>的植物保护</w:t>
            </w:r>
            <w:proofErr w:type="gramEnd"/>
            <w:r w:rsidRPr="00DB4465">
              <w:rPr>
                <w:rFonts w:hint="eastAsia"/>
              </w:rPr>
              <w:t>产</w:t>
            </w:r>
            <w:r>
              <w:rPr>
                <w:rFonts w:hint="eastAsia"/>
              </w:rPr>
              <w:t>品</w:t>
            </w:r>
            <w:r w:rsidRPr="00DB4465">
              <w:rPr>
                <w:rFonts w:hint="eastAsia"/>
              </w:rPr>
              <w:t>。考虑到符合法规</w:t>
            </w:r>
            <w:r w:rsidRPr="00DB4465">
              <w:rPr>
                <w:rFonts w:hint="eastAsia"/>
              </w:rPr>
              <w:t>(EC) No 1107/2009</w:t>
            </w:r>
            <w:r w:rsidRPr="00DB4465">
              <w:rPr>
                <w:rFonts w:hint="eastAsia"/>
              </w:rPr>
              <w:t>第</w:t>
            </w:r>
            <w:r w:rsidRPr="00DB4465">
              <w:rPr>
                <w:rFonts w:hint="eastAsia"/>
              </w:rPr>
              <w:t>46</w:t>
            </w:r>
            <w:r w:rsidRPr="00DB4465">
              <w:rPr>
                <w:rFonts w:hint="eastAsia"/>
              </w:rPr>
              <w:t>条的宽限期，</w:t>
            </w:r>
            <w:r>
              <w:rPr>
                <w:rFonts w:hint="eastAsia"/>
              </w:rPr>
              <w:t>撤销授权后</w:t>
            </w:r>
            <w:r w:rsidRPr="00DB4465">
              <w:rPr>
                <w:rFonts w:hint="eastAsia"/>
              </w:rPr>
              <w:t>最迟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个月到期</w:t>
            </w:r>
            <w:r>
              <w:rPr>
                <w:rFonts w:hint="eastAsia"/>
                <w:bCs/>
                <w:spacing w:val="-2"/>
                <w:szCs w:val="22"/>
              </w:rPr>
              <w:t>。</w:t>
            </w:r>
          </w:p>
        </w:tc>
      </w:tr>
      <w:tr w:rsidR="001C733E" w:rsidRPr="00310031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</w:rPr>
            </w:pPr>
            <w:r w:rsidRPr="00310031">
              <w:rPr>
                <w:rFonts w:hint="eastAsia"/>
              </w:rPr>
              <w:t>·</w:t>
            </w:r>
            <w:r>
              <w:rPr>
                <w:rFonts w:hint="eastAsia"/>
                <w:bCs/>
                <w:spacing w:val="-2"/>
                <w:szCs w:val="22"/>
              </w:rPr>
              <w:t>2009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>
              <w:rPr>
                <w:rFonts w:hint="eastAsia"/>
                <w:bCs/>
                <w:spacing w:val="-2"/>
                <w:szCs w:val="22"/>
              </w:rPr>
              <w:t>10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</w:t>
            </w:r>
            <w:r>
              <w:rPr>
                <w:rFonts w:hint="eastAsia"/>
                <w:bCs/>
                <w:spacing w:val="-2"/>
                <w:szCs w:val="22"/>
              </w:rPr>
              <w:t>1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关于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上市及撤销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指令</w:t>
            </w:r>
            <w:r>
              <w:t xml:space="preserve">79/117/EEC </w:t>
            </w:r>
            <w:r>
              <w:rPr>
                <w:rFonts w:hint="eastAsia"/>
              </w:rPr>
              <w:t>和</w:t>
            </w:r>
            <w:r>
              <w:t xml:space="preserve"> 91/414/EEC</w:t>
            </w:r>
            <w:r>
              <w:rPr>
                <w:rFonts w:hint="eastAsia"/>
              </w:rPr>
              <w:t>：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16611A">
              <w:t>http://eur-lex.europa.eu/legal-content/EN/TXT/PDF/?uri=CELEX:32009R1107&amp;qid=1437730988988&amp;from=EN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日欧盟委员会法规实施细则</w:t>
            </w:r>
            <w:r w:rsidRPr="00425343">
              <w:rPr>
                <w:spacing w:val="-2"/>
              </w:rPr>
              <w:t>(EU) No 540/2011</w:t>
            </w:r>
            <w:r>
              <w:rPr>
                <w:rFonts w:hint="eastAsia"/>
              </w:rPr>
              <w:t>执行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关于批准的活性物质清单</w:t>
            </w:r>
            <w:r w:rsidRPr="00850E90">
              <w:t>(OJ L 153, 11.6.2011, p. 1–186)</w:t>
            </w:r>
            <w:r>
              <w:rPr>
                <w:rFonts w:hint="eastAsia"/>
              </w:rPr>
              <w:t>：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D20EAE">
              <w:t>http://eur-lex.europa.eu/legal-content/EN/TXT/?qid=1442928512004&amp;uri=CELEX:32011R0540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·</w:t>
            </w: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日欧盟委员会法规实施细则</w:t>
            </w:r>
            <w:r>
              <w:t>(EU) No 798/2011</w:t>
            </w:r>
            <w:r>
              <w:rPr>
                <w:rFonts w:hint="eastAsia"/>
              </w:rPr>
              <w:t>批准活性物质</w:t>
            </w:r>
            <w:r w:rsidRPr="00310031">
              <w:rPr>
                <w:rFonts w:hint="eastAsia"/>
              </w:rPr>
              <w:t>乙氧氟草醚</w:t>
            </w:r>
            <w:r>
              <w:rPr>
                <w:rFonts w:hint="eastAsia"/>
              </w:rPr>
              <w:t>，依照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法规</w:t>
            </w:r>
            <w:r>
              <w:t>(EC) No 1107/2009</w:t>
            </w:r>
            <w:r>
              <w:rPr>
                <w:rFonts w:hint="eastAsia"/>
              </w:rPr>
              <w:t>关于</w:t>
            </w:r>
            <w:r w:rsidRPr="008B5EDC">
              <w:rPr>
                <w:rFonts w:hint="eastAsia"/>
              </w:rPr>
              <w:t>植物保护产品</w:t>
            </w:r>
            <w:r>
              <w:rPr>
                <w:rFonts w:hint="eastAsia"/>
              </w:rPr>
              <w:t>上市，及修订欧盟委员会法规实施细则</w:t>
            </w:r>
            <w:r w:rsidRPr="00425343">
              <w:rPr>
                <w:spacing w:val="-2"/>
              </w:rPr>
              <w:t>(EU) No 540/2011</w:t>
            </w:r>
            <w:r>
              <w:rPr>
                <w:rFonts w:hint="eastAsia"/>
                <w:spacing w:val="-2"/>
              </w:rPr>
              <w:t>附录和欧盟委员会决议</w:t>
            </w:r>
            <w:r>
              <w:t>2008/934/EC</w:t>
            </w:r>
            <w:r>
              <w:rPr>
                <w:rFonts w:hint="eastAsia"/>
              </w:rPr>
              <w:t>（</w:t>
            </w:r>
            <w:r>
              <w:t>OJ L 205, 10.8.2011, p. 9-14</w:t>
            </w:r>
            <w:r>
              <w:rPr>
                <w:rFonts w:hint="eastAsia"/>
              </w:rPr>
              <w:t>）：</w:t>
            </w:r>
          </w:p>
          <w:p w:rsidR="001C733E" w:rsidRPr="003A16FD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3A16FD">
              <w:t>http://eur-lex.europa.eu/legal-content/EN/ALL/?uri=CELEX:32011R0798</w:t>
            </w:r>
          </w:p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  <w:lang w:val="fr-BE"/>
              </w:rPr>
            </w:pPr>
            <w:r>
              <w:rPr>
                <w:rFonts w:hint="eastAsia"/>
              </w:rPr>
              <w:t>·</w:t>
            </w:r>
            <w:r w:rsidRPr="00740789">
              <w:rPr>
                <w:rFonts w:hint="eastAsia"/>
              </w:rPr>
              <w:t>欧洲食品安全局</w:t>
            </w:r>
            <w:r w:rsidRPr="00740789">
              <w:rPr>
                <w:rFonts w:hint="eastAsia"/>
              </w:rPr>
              <w:t>(EFSA)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。根据验证数据对活性物质</w:t>
            </w:r>
            <w:r w:rsidRPr="00310031">
              <w:rPr>
                <w:rFonts w:hint="eastAsia"/>
              </w:rPr>
              <w:t>乙氧氟草醚</w:t>
            </w:r>
            <w:r>
              <w:rPr>
                <w:rFonts w:hint="eastAsia"/>
              </w:rPr>
              <w:t>杀虫剂风险评估的同业</w:t>
            </w:r>
            <w:r w:rsidRPr="001C4A55">
              <w:rPr>
                <w:rFonts w:hint="eastAsia"/>
              </w:rPr>
              <w:t>评审</w:t>
            </w:r>
            <w:r>
              <w:rPr>
                <w:rFonts w:hint="eastAsia"/>
              </w:rPr>
              <w:t>结论。</w:t>
            </w:r>
            <w:r>
              <w:rPr>
                <w:lang w:val="fr-BE" w:eastAsia="fr-BE"/>
              </w:rPr>
              <w:t>EFSA</w:t>
            </w:r>
            <w:r w:rsidRPr="00523427">
              <w:rPr>
                <w:rFonts w:hint="eastAsia"/>
                <w:lang w:val="fr-BE" w:eastAsia="fr-BE"/>
              </w:rPr>
              <w:t>杂志</w:t>
            </w:r>
            <w:r w:rsidRPr="00B151BE">
              <w:rPr>
                <w:lang w:val="fr-CH"/>
              </w:rPr>
              <w:t>2015;13(8):4205, 45 pp. doi:10.2903/j.efsa.2015.4205</w:t>
            </w:r>
            <w:r>
              <w:rPr>
                <w:rFonts w:hint="eastAsia"/>
                <w:lang w:val="fr-BE"/>
              </w:rPr>
              <w:t>：</w:t>
            </w:r>
          </w:p>
          <w:p w:rsidR="001C733E" w:rsidRPr="00310031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  <w:lang w:val="fr-BE"/>
              </w:rPr>
            </w:pPr>
            <w:r w:rsidRPr="00310031">
              <w:rPr>
                <w:lang w:val="fr-BE"/>
              </w:rPr>
              <w:t>https://www.efsa.europa.eu/en/efsajournal/pub/4205</w:t>
            </w:r>
          </w:p>
        </w:tc>
      </w:tr>
      <w:tr w:rsidR="00025F64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25F64" w:rsidRDefault="00025F64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025F64" w:rsidRDefault="00025F64" w:rsidP="00025F64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025F64" w:rsidRDefault="00025F64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025F64" w:rsidRDefault="00025F64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1</w:t>
            </w:r>
            <w:r>
              <w:rPr>
                <w:rFonts w:hint="eastAsia"/>
                <w:spacing w:val="-2"/>
                <w:szCs w:val="22"/>
              </w:rPr>
              <w:t>季度</w:t>
            </w:r>
          </w:p>
          <w:p w:rsidR="00025F64" w:rsidRPr="00043B3E" w:rsidRDefault="00025F64" w:rsidP="00025F64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天（生效后</w:t>
            </w:r>
            <w:r>
              <w:rPr>
                <w:rFonts w:hint="eastAsia"/>
                <w:spacing w:val="-2"/>
                <w:szCs w:val="22"/>
              </w:rPr>
              <w:t>3</w:t>
            </w:r>
            <w:r>
              <w:rPr>
                <w:rFonts w:hint="eastAsia"/>
                <w:spacing w:val="-2"/>
                <w:szCs w:val="22"/>
              </w:rPr>
              <w:t>个月内修订或撤销现有授权）</w:t>
            </w:r>
          </w:p>
        </w:tc>
      </w:tr>
      <w:tr w:rsidR="001C733E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33E" w:rsidRPr="00371479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  <w:bookmarkStart w:id="0" w:name="_GoBack"/>
            <w:bookmarkEnd w:id="0"/>
          </w:p>
        </w:tc>
      </w:tr>
      <w:tr w:rsidR="001C733E" w:rsidTr="00B058CB">
        <w:trPr>
          <w:jc w:val="center"/>
        </w:trPr>
        <w:tc>
          <w:tcPr>
            <w:tcW w:w="552" w:type="dxa"/>
            <w:tcBorders>
              <w:top w:val="single" w:sz="4" w:space="0" w:color="auto"/>
              <w:bottom w:val="double" w:sz="4" w:space="0" w:color="auto"/>
            </w:tcBorders>
          </w:tcPr>
          <w:p w:rsidR="001C733E" w:rsidRDefault="001C733E" w:rsidP="00495A2F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C733E" w:rsidRDefault="001C733E" w:rsidP="00025F64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E71A1C" w:rsidRPr="001C733E" w:rsidRDefault="00E71A1C">
      <w:pPr>
        <w:ind w:firstLine="420"/>
      </w:pPr>
    </w:p>
    <w:sectPr w:rsidR="00E71A1C" w:rsidRPr="001C7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3E"/>
    <w:rsid w:val="00005CDE"/>
    <w:rsid w:val="00025F64"/>
    <w:rsid w:val="00101CA4"/>
    <w:rsid w:val="001C733E"/>
    <w:rsid w:val="00495A2F"/>
    <w:rsid w:val="007B5227"/>
    <w:rsid w:val="008F706D"/>
    <w:rsid w:val="00927B4B"/>
    <w:rsid w:val="00A818EC"/>
    <w:rsid w:val="00B058CB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0094B-3EF2-459A-BE29-1BDD2DCE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1C733E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0"/>
    </w:pPr>
    <w:rPr>
      <w:rFonts w:ascii="黑体" w:eastAsia="黑体" w:hAnsi="黑体" w:cs="黑体"/>
      <w:bCs/>
      <w:sz w:val="32"/>
      <w:szCs w:val="30"/>
      <w:lang w:val="en-US"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widowControl w:val="0"/>
      <w:tabs>
        <w:tab w:val="clear" w:pos="720"/>
      </w:tabs>
      <w:adjustRightInd w:val="0"/>
      <w:snapToGrid w:val="0"/>
      <w:spacing w:beforeLines="50" w:before="50" w:afterLines="50" w:after="50" w:line="300" w:lineRule="auto"/>
      <w:ind w:firstLineChars="200" w:firstLine="200"/>
      <w:jc w:val="center"/>
      <w:outlineLvl w:val="1"/>
    </w:pPr>
    <w:rPr>
      <w:rFonts w:ascii="楷体" w:eastAsia="黑体" w:hAnsi="楷体" w:cs="楷体"/>
      <w:bCs/>
      <w:sz w:val="28"/>
      <w:szCs w:val="28"/>
      <w:lang w:val="en-US"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widowControl w:val="0"/>
      <w:tabs>
        <w:tab w:val="clear" w:pos="720"/>
      </w:tabs>
      <w:adjustRightInd w:val="0"/>
      <w:snapToGrid w:val="0"/>
      <w:spacing w:line="300" w:lineRule="auto"/>
      <w:ind w:left="120" w:right="110" w:firstLineChars="200" w:firstLine="200"/>
      <w:jc w:val="left"/>
      <w:outlineLvl w:val="2"/>
    </w:pPr>
    <w:rPr>
      <w:rFonts w:ascii="宋体" w:eastAsia="黑体" w:hAnsi="宋体" w:cs="宋体"/>
      <w:sz w:val="24"/>
      <w:szCs w:val="28"/>
      <w:lang w:val="en-US"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黑体" w:hAnsi="黑体" w:cs="黑体"/>
      <w:bCs/>
      <w:sz w:val="21"/>
      <w:szCs w:val="24"/>
      <w:lang w:val="en-US"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pPr>
      <w:widowControl w:val="0"/>
      <w:tabs>
        <w:tab w:val="clear" w:pos="720"/>
      </w:tabs>
      <w:adjustRightInd w:val="0"/>
      <w:snapToGrid w:val="0"/>
      <w:spacing w:line="360" w:lineRule="auto"/>
      <w:ind w:firstLineChars="200" w:firstLine="200"/>
    </w:pPr>
    <w:rPr>
      <w:rFonts w:ascii="宋体" w:hAnsi="宋体" w:cs="宋体"/>
      <w:sz w:val="21"/>
      <w:szCs w:val="21"/>
      <w:lang w:val="en-US"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paragraph" w:styleId="a8">
    <w:name w:val="Title"/>
    <w:basedOn w:val="a"/>
    <w:link w:val="Char0"/>
    <w:qFormat/>
    <w:rsid w:val="001C733E"/>
    <w:pPr>
      <w:jc w:val="center"/>
    </w:pPr>
    <w:rPr>
      <w:b/>
      <w:caps/>
      <w:kern w:val="28"/>
    </w:rPr>
  </w:style>
  <w:style w:type="character" w:customStyle="1" w:styleId="Char0">
    <w:name w:val="标题 Char"/>
    <w:basedOn w:val="a1"/>
    <w:link w:val="a8"/>
    <w:rsid w:val="001C733E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9">
    <w:name w:val="toa heading"/>
    <w:basedOn w:val="a"/>
    <w:next w:val="a"/>
    <w:semiHidden/>
    <w:rsid w:val="001C733E"/>
    <w:rPr>
      <w:b/>
    </w:rPr>
  </w:style>
  <w:style w:type="paragraph" w:styleId="aa">
    <w:name w:val="header"/>
    <w:basedOn w:val="a"/>
    <w:link w:val="Char1"/>
    <w:rsid w:val="001C733E"/>
    <w:pPr>
      <w:tabs>
        <w:tab w:val="center" w:pos="4513"/>
        <w:tab w:val="right" w:pos="9027"/>
      </w:tabs>
      <w:jc w:val="left"/>
    </w:pPr>
  </w:style>
  <w:style w:type="character" w:customStyle="1" w:styleId="Char1">
    <w:name w:val="页眉 Char"/>
    <w:basedOn w:val="a1"/>
    <w:link w:val="aa"/>
    <w:rsid w:val="001C733E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4</cp:revision>
  <dcterms:created xsi:type="dcterms:W3CDTF">2017-01-19T03:34:00Z</dcterms:created>
  <dcterms:modified xsi:type="dcterms:W3CDTF">2017-01-19T03:39:00Z</dcterms:modified>
</cp:coreProperties>
</file>