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60661F" w:rsidTr="006066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60661F" w:rsidRDefault="0060661F" w:rsidP="0060661F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60661F" w:rsidTr="0060661F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60661F" w:rsidRDefault="0060661F" w:rsidP="0060661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60661F" w:rsidRDefault="0060661F" w:rsidP="0060661F">
            <w:pPr>
              <w:adjustRightInd w:val="0"/>
              <w:snapToGrid w:val="0"/>
              <w:jc w:val="left"/>
            </w:pPr>
          </w:p>
        </w:tc>
      </w:tr>
      <w:tr w:rsidR="0060661F" w:rsidTr="006066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409</w:t>
            </w:r>
          </w:p>
          <w:p w:rsidR="0060661F" w:rsidRDefault="0060661F" w:rsidP="0060661F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60661F" w:rsidTr="006066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DC5C4E">
              <w:rPr>
                <w:sz w:val="18"/>
                <w:szCs w:val="18"/>
              </w:rPr>
              <w:t>5295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60661F" w:rsidTr="0060661F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60661F" w:rsidRDefault="0060661F" w:rsidP="0060661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60661F" w:rsidRDefault="0060661F" w:rsidP="0060661F">
            <w:pPr>
              <w:adjustRightInd w:val="0"/>
              <w:snapToGrid w:val="0"/>
              <w:jc w:val="left"/>
            </w:pPr>
          </w:p>
        </w:tc>
      </w:tr>
      <w:tr w:rsidR="0060661F" w:rsidTr="006066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60661F" w:rsidRDefault="0060661F" w:rsidP="0060661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60661F" w:rsidRDefault="0060661F" w:rsidP="0060661F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60661F" w:rsidRDefault="0060661F" w:rsidP="0060661F">
      <w:pPr>
        <w:jc w:val="center"/>
      </w:pPr>
    </w:p>
    <w:p w:rsidR="0060661F" w:rsidRDefault="0060661F" w:rsidP="0060661F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60661F" w:rsidRDefault="0060661F" w:rsidP="0060661F">
      <w:pPr>
        <w:jc w:val="center"/>
      </w:pPr>
    </w:p>
    <w:p w:rsidR="0060661F" w:rsidRDefault="0060661F" w:rsidP="0060661F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60661F" w:rsidRDefault="0060661F" w:rsidP="0060661F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52"/>
        <w:gridCol w:w="1941"/>
        <w:gridCol w:w="5842"/>
      </w:tblGrid>
      <w:tr w:rsidR="0060661F" w:rsidTr="0060661F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78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Pr="00880BC0" w:rsidRDefault="0060661F" w:rsidP="0060661F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Pr="00E4686B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（杀虫剂活性物质）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Pr="008B5EDC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法规实施细则草案，不继续</w:t>
            </w:r>
            <w:r w:rsidRPr="009327F1">
              <w:rPr>
                <w:rFonts w:hint="eastAsia"/>
              </w:rPr>
              <w:t>批准</w:t>
            </w:r>
            <w:r>
              <w:rPr>
                <w:rFonts w:hint="eastAsia"/>
              </w:rPr>
              <w:t>活性物质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，依照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上市的法规</w:t>
            </w:r>
            <w:r>
              <w:t>(EC) No 1107/2009</w:t>
            </w:r>
            <w:r>
              <w:rPr>
                <w:rFonts w:hint="eastAsia"/>
              </w:rPr>
              <w:t>，及修订法规实施细则</w:t>
            </w:r>
            <w:r w:rsidRPr="00425343">
              <w:rPr>
                <w:spacing w:val="-2"/>
              </w:rPr>
              <w:t>(EU) No 540/2011</w:t>
            </w:r>
            <w:r>
              <w:rPr>
                <w:rFonts w:hint="eastAsia"/>
                <w:spacing w:val="-2"/>
              </w:rPr>
              <w:t>附录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60661F" w:rsidRPr="00CF2612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法规实施细则草案规定不继续</w:t>
            </w:r>
            <w:r w:rsidRPr="009327F1">
              <w:rPr>
                <w:rFonts w:hint="eastAsia"/>
              </w:rPr>
              <w:t>批准</w:t>
            </w:r>
            <w:r>
              <w:rPr>
                <w:rFonts w:hint="eastAsia"/>
              </w:rPr>
              <w:t>活性物质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，依照法规</w:t>
            </w:r>
            <w:r>
              <w:t>(EC) No 1107/2009</w:t>
            </w:r>
            <w:r>
              <w:rPr>
                <w:rFonts w:hint="eastAsia"/>
              </w:rPr>
              <w:t>。现已授权的</w:t>
            </w:r>
            <w:proofErr w:type="gramStart"/>
            <w:r>
              <w:rPr>
                <w:rFonts w:hint="eastAsia"/>
              </w:rPr>
              <w:t>含</w:t>
            </w:r>
            <w:r w:rsidRPr="00DC5C4E">
              <w:rPr>
                <w:rFonts w:hint="eastAsia"/>
              </w:rPr>
              <w:t>利谷隆</w:t>
            </w:r>
            <w:proofErr w:type="gramEnd"/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将从市场上撤销。不批准是基于该物质在欧盟作为杀虫剂活性物质使用依照法规</w:t>
            </w:r>
            <w:r>
              <w:t>(EC) No 1107/2009</w:t>
            </w:r>
            <w:r>
              <w:rPr>
                <w:rFonts w:hint="eastAsia"/>
              </w:rPr>
              <w:t>做出的首次评估。该物质以前依照指令</w:t>
            </w:r>
            <w:r>
              <w:t>91/414/ EEC</w:t>
            </w:r>
            <w:r>
              <w:rPr>
                <w:rFonts w:hint="eastAsia"/>
              </w:rPr>
              <w:t>被批准。</w:t>
            </w:r>
          </w:p>
          <w:p w:rsidR="0060661F" w:rsidRPr="00CF2612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</w:rPr>
              <w:t>本决议仅涉及该物质的上市，不影响杀虫剂最大残留（</w:t>
            </w:r>
            <w:r>
              <w:t>MRLs</w:t>
            </w:r>
            <w:r>
              <w:rPr>
                <w:rFonts w:hint="eastAsia"/>
              </w:rPr>
              <w:t>）。然而，不继续批准之后，将采取</w:t>
            </w:r>
            <w:proofErr w:type="gramStart"/>
            <w:r>
              <w:rPr>
                <w:rFonts w:hint="eastAsia"/>
              </w:rPr>
              <w:t>单独措施</w:t>
            </w:r>
            <w:proofErr w:type="gramEnd"/>
            <w:r>
              <w:rPr>
                <w:rFonts w:hint="eastAsia"/>
              </w:rPr>
              <w:t>降低定量限制（</w:t>
            </w:r>
            <w:r>
              <w:rPr>
                <w:rFonts w:hint="eastAsia"/>
              </w:rPr>
              <w:t>LOQ</w:t>
            </w:r>
            <w:r>
              <w:rPr>
                <w:rFonts w:hint="eastAsia"/>
              </w:rPr>
              <w:t>）的最大残留（</w:t>
            </w:r>
            <w:r>
              <w:t>MRLs</w:t>
            </w:r>
            <w:r>
              <w:rPr>
                <w:rFonts w:hint="eastAsia"/>
              </w:rPr>
              <w:t>）。依照</w:t>
            </w:r>
            <w:r>
              <w:rPr>
                <w:rFonts w:hint="eastAsia"/>
              </w:rPr>
              <w:t>SPS</w:t>
            </w:r>
            <w:r>
              <w:rPr>
                <w:rFonts w:hint="eastAsia"/>
              </w:rPr>
              <w:t>关于对</w:t>
            </w:r>
            <w:r>
              <w:rPr>
                <w:spacing w:val="-3"/>
              </w:rPr>
              <w:t>MRLs</w:t>
            </w:r>
            <w:r>
              <w:rPr>
                <w:rFonts w:hint="eastAsia"/>
                <w:spacing w:val="-3"/>
              </w:rPr>
              <w:t>采取措施的程序，将单独通报。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保护人类健康安全；保护动植物生命健康；保护环境。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对于依照法规</w:t>
            </w:r>
            <w:r>
              <w:t>(EC) No 1107/2009</w:t>
            </w:r>
            <w:r>
              <w:rPr>
                <w:rFonts w:hint="eastAsia"/>
              </w:rPr>
              <w:t>（涉及植物保护产品上市）核准的活性物质，必须证明该物质对人类健康、动物健康或环境无害。法规第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条列出了必须遵守以便通过核准的标准（附录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详细说明）。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72588">
              <w:rPr>
                <w:rFonts w:hint="eastAsia"/>
              </w:rPr>
              <w:t>在</w:t>
            </w:r>
            <w:r>
              <w:rPr>
                <w:rFonts w:hint="eastAsia"/>
              </w:rPr>
              <w:t>该</w:t>
            </w:r>
            <w:r w:rsidRPr="00472588">
              <w:rPr>
                <w:rFonts w:hint="eastAsia"/>
              </w:rPr>
              <w:t>物质的评估和同业评审过程中，确定了一些未完成的关注问题和领域。这些在欧洲食品安全局</w:t>
            </w:r>
            <w:r w:rsidRPr="00472588">
              <w:rPr>
                <w:rFonts w:hint="eastAsia"/>
              </w:rPr>
              <w:t>(EFSA)</w:t>
            </w:r>
            <w:r w:rsidRPr="00472588">
              <w:rPr>
                <w:rFonts w:hint="eastAsia"/>
              </w:rPr>
              <w:t>的结论中做出详细说明；</w:t>
            </w:r>
            <w:r w:rsidRPr="00472588">
              <w:rPr>
                <w:rFonts w:hint="eastAsia"/>
              </w:rPr>
              <w:t>EFSA</w:t>
            </w:r>
            <w:r>
              <w:rPr>
                <w:rFonts w:hint="eastAsia"/>
              </w:rPr>
              <w:t>确定了几个</w:t>
            </w:r>
            <w:proofErr w:type="gramStart"/>
            <w:r>
              <w:rPr>
                <w:rFonts w:hint="eastAsia"/>
              </w:rPr>
              <w:t>具体关注</w:t>
            </w:r>
            <w:proofErr w:type="gramEnd"/>
            <w:r>
              <w:rPr>
                <w:rFonts w:hint="eastAsia"/>
              </w:rPr>
              <w:t>问题：特别是，儿童居民接触量超过了相关毒物学参考值（</w:t>
            </w:r>
            <w:r>
              <w:t>AOEL</w:t>
            </w:r>
            <w:r>
              <w:rPr>
                <w:rFonts w:hint="eastAsia"/>
              </w:rPr>
              <w:t>），手持喷洒应用的操作者接触量也超过了</w:t>
            </w:r>
            <w:r>
              <w:t>AOEL</w:t>
            </w:r>
            <w:r>
              <w:rPr>
                <w:rFonts w:hint="eastAsia"/>
              </w:rPr>
              <w:t>，即使考虑到个人防护设备的使用。此外，对鸟类和野生</w:t>
            </w:r>
            <w:r w:rsidRPr="00824BB9">
              <w:rPr>
                <w:rFonts w:hint="eastAsia"/>
              </w:rPr>
              <w:t>哺乳动物</w:t>
            </w:r>
            <w:r>
              <w:rPr>
                <w:rFonts w:hint="eastAsia"/>
              </w:rPr>
              <w:t>、</w:t>
            </w:r>
            <w:r w:rsidRPr="00824BB9">
              <w:rPr>
                <w:rFonts w:hint="eastAsia"/>
              </w:rPr>
              <w:t>非靶标节肢动物</w:t>
            </w:r>
            <w:r>
              <w:rPr>
                <w:rFonts w:hint="eastAsia"/>
              </w:rPr>
              <w:t>和</w:t>
            </w:r>
            <w:r w:rsidRPr="00824BB9">
              <w:rPr>
                <w:rFonts w:hint="eastAsia"/>
              </w:rPr>
              <w:t>非靶标</w:t>
            </w:r>
            <w:r>
              <w:rPr>
                <w:rFonts w:hint="eastAsia"/>
              </w:rPr>
              <w:t>土壤微生物的高危险是确定的。</w:t>
            </w:r>
            <w:r>
              <w:rPr>
                <w:rFonts w:hint="eastAsia"/>
              </w:rPr>
              <w:lastRenderedPageBreak/>
              <w:t>消费者危险评估由于数据包严重缺陷未能完成。包括地下水在内的几个环境区块的接触和危险评估也未能完成。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依照法规</w:t>
            </w:r>
            <w:r>
              <w:t>(EC) No 1272/2008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被分类为</w:t>
            </w:r>
            <w:r>
              <w:rPr>
                <w:rFonts w:hint="eastAsia"/>
              </w:rPr>
              <w:t>1B</w:t>
            </w:r>
            <w:r>
              <w:rPr>
                <w:rFonts w:hint="eastAsia"/>
              </w:rPr>
              <w:t>类毒害生殖物质。对于拟定用途儿童居民接触量超过</w:t>
            </w:r>
            <w:r>
              <w:t>AOEL</w:t>
            </w:r>
            <w:r>
              <w:rPr>
                <w:rFonts w:hint="eastAsia"/>
              </w:rPr>
              <w:t>，因此可以排除在实际使用条件下使用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以便人类对该物质的接触量</w:t>
            </w:r>
            <w:r w:rsidRPr="000150FF">
              <w:rPr>
                <w:rFonts w:hint="eastAsia"/>
              </w:rPr>
              <w:t>微不足道</w:t>
            </w:r>
            <w:r>
              <w:rPr>
                <w:rFonts w:hint="eastAsia"/>
              </w:rPr>
              <w:t>。微量接触可进一步排除，由于不能认为活性物质残留没有超过法规</w:t>
            </w:r>
            <w:r>
              <w:t>(EC) No 396/2005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款第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项的默认值设定，鉴于最大残留水平并非来自可用数据。基于这些考虑，法规</w:t>
            </w:r>
            <w:r>
              <w:rPr>
                <w:color w:val="000000"/>
              </w:rPr>
              <w:t>(EC) No 1107/2009</w:t>
            </w:r>
            <w:r>
              <w:rPr>
                <w:rFonts w:hint="eastAsia"/>
                <w:color w:val="000000"/>
              </w:rPr>
              <w:t>附录</w:t>
            </w:r>
            <w:r>
              <w:rPr>
                <w:rFonts w:hint="eastAsia"/>
                <w:color w:val="000000"/>
              </w:rPr>
              <w:t>II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3.6.4</w:t>
            </w:r>
            <w:r>
              <w:rPr>
                <w:rFonts w:hint="eastAsia"/>
                <w:color w:val="000000"/>
              </w:rPr>
              <w:t>项规定的要求没有得到履行。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此外，</w:t>
            </w:r>
            <w:proofErr w:type="gramStart"/>
            <w:r>
              <w:rPr>
                <w:rFonts w:hint="eastAsia"/>
                <w:color w:val="000000"/>
              </w:rPr>
              <w:t>除</w:t>
            </w:r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被</w:t>
            </w:r>
            <w:bookmarkStart w:id="0" w:name="_GoBack"/>
            <w:bookmarkEnd w:id="0"/>
            <w:r>
              <w:rPr>
                <w:rFonts w:hint="eastAsia"/>
              </w:rPr>
              <w:t>分类为</w:t>
            </w:r>
            <w:r>
              <w:rPr>
                <w:rFonts w:hint="eastAsia"/>
              </w:rPr>
              <w:t>1B</w:t>
            </w:r>
            <w:r>
              <w:rPr>
                <w:rFonts w:hint="eastAsia"/>
              </w:rPr>
              <w:t>类毒害生殖物质外，依照法规</w:t>
            </w:r>
            <w:r>
              <w:t>(EC) No 1272/2008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还被分类为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类致癌物质，因此被认为具有</w:t>
            </w:r>
            <w:r w:rsidRPr="00BC651B">
              <w:rPr>
                <w:rFonts w:hint="eastAsia"/>
              </w:rPr>
              <w:t>内分泌干扰特性</w:t>
            </w:r>
            <w:r>
              <w:rPr>
                <w:rFonts w:hint="eastAsia"/>
              </w:rPr>
              <w:t>，依照法规</w:t>
            </w:r>
            <w:r>
              <w:rPr>
                <w:color w:val="000000"/>
              </w:rPr>
              <w:t>(EC) No 1107/2009</w:t>
            </w:r>
            <w:r>
              <w:rPr>
                <w:rFonts w:hint="eastAsia"/>
                <w:color w:val="000000"/>
              </w:rPr>
              <w:t>附录</w:t>
            </w:r>
            <w:r>
              <w:rPr>
                <w:rFonts w:hint="eastAsia"/>
                <w:color w:val="000000"/>
              </w:rPr>
              <w:t>II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款第</w:t>
            </w:r>
            <w:r>
              <w:rPr>
                <w:color w:val="000000"/>
              </w:rPr>
              <w:t>3.6.5</w:t>
            </w:r>
            <w:r>
              <w:rPr>
                <w:rFonts w:hint="eastAsia"/>
                <w:color w:val="000000"/>
              </w:rPr>
              <w:t>项。此外，现有科学证据显示</w:t>
            </w:r>
            <w:proofErr w:type="gramStart"/>
            <w:r w:rsidRPr="00DC5C4E">
              <w:rPr>
                <w:rFonts w:hint="eastAsia"/>
              </w:rPr>
              <w:t>利谷隆</w:t>
            </w:r>
            <w:r>
              <w:rPr>
                <w:rFonts w:hint="eastAsia"/>
              </w:rPr>
              <w:t>具有</w:t>
            </w:r>
            <w:proofErr w:type="gramEnd"/>
            <w:r>
              <w:rPr>
                <w:rFonts w:hint="eastAsia"/>
              </w:rPr>
              <w:t>可能对人类和</w:t>
            </w:r>
            <w:r w:rsidRPr="00824BB9">
              <w:rPr>
                <w:rFonts w:hint="eastAsia"/>
              </w:rPr>
              <w:t>非靶标</w:t>
            </w:r>
            <w:r>
              <w:rPr>
                <w:rFonts w:hint="eastAsia"/>
              </w:rPr>
              <w:t>生物</w:t>
            </w:r>
            <w:r w:rsidRPr="00BC651B">
              <w:rPr>
                <w:rFonts w:hint="eastAsia"/>
              </w:rPr>
              <w:t>内分泌器官</w:t>
            </w:r>
            <w:r>
              <w:rPr>
                <w:rFonts w:hint="eastAsia"/>
              </w:rPr>
              <w:t>导致副作用的</w:t>
            </w:r>
            <w:r w:rsidRPr="00BC651B">
              <w:rPr>
                <w:rFonts w:hint="eastAsia"/>
              </w:rPr>
              <w:t>内分泌干扰特性</w:t>
            </w:r>
            <w:r>
              <w:rPr>
                <w:rFonts w:hint="eastAsia"/>
              </w:rPr>
              <w:t>。基于第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条详述的理由在实际使用条件下人类微量接触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>
              <w:rPr>
                <w:rFonts w:hint="eastAsia"/>
              </w:rPr>
              <w:t>被排除。基于这些考虑，法规</w:t>
            </w:r>
            <w:r>
              <w:rPr>
                <w:color w:val="000000"/>
              </w:rPr>
              <w:t>(EC) No 1107/2009</w:t>
            </w:r>
            <w:r>
              <w:rPr>
                <w:rFonts w:hint="eastAsia"/>
                <w:color w:val="000000"/>
              </w:rPr>
              <w:t>附录</w:t>
            </w:r>
            <w:r>
              <w:rPr>
                <w:rFonts w:hint="eastAsia"/>
                <w:color w:val="000000"/>
              </w:rPr>
              <w:t>II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款第</w:t>
            </w:r>
            <w:r>
              <w:rPr>
                <w:color w:val="000000"/>
              </w:rPr>
              <w:t>3.6.5</w:t>
            </w:r>
            <w:r>
              <w:rPr>
                <w:rFonts w:hint="eastAsia"/>
                <w:color w:val="000000"/>
              </w:rPr>
              <w:t>项规定的要求没有得到履行。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这些问题意味</w:t>
            </w:r>
            <w:proofErr w:type="gramStart"/>
            <w:r w:rsidRPr="00DC5C4E">
              <w:rPr>
                <w:rFonts w:hint="eastAsia"/>
              </w:rPr>
              <w:t>利谷隆</w:t>
            </w:r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符合法规</w:t>
            </w:r>
            <w:r>
              <w:t>(EC) No 1107/2009</w:t>
            </w:r>
            <w:r>
              <w:rPr>
                <w:rFonts w:hint="eastAsia"/>
              </w:rPr>
              <w:t>规定的核准标准，目前不能核准。</w:t>
            </w:r>
          </w:p>
          <w:p w:rsidR="0060661F" w:rsidRPr="008B5EDC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B4465">
              <w:rPr>
                <w:rFonts w:hint="eastAsia"/>
              </w:rPr>
              <w:t>现有授权必须撤销；成员国必须最迟在法规生效</w:t>
            </w:r>
            <w:r w:rsidRPr="00DB4465">
              <w:rPr>
                <w:rFonts w:hint="eastAsia"/>
              </w:rPr>
              <w:t>3</w:t>
            </w:r>
            <w:r w:rsidRPr="00DB4465">
              <w:rPr>
                <w:rFonts w:hint="eastAsia"/>
              </w:rPr>
              <w:t>个月内撤销现有包含</w:t>
            </w:r>
            <w:proofErr w:type="gramStart"/>
            <w:r w:rsidRPr="00DC5C4E">
              <w:rPr>
                <w:rFonts w:hint="eastAsia"/>
              </w:rPr>
              <w:t>利谷隆</w:t>
            </w:r>
            <w:proofErr w:type="gramEnd"/>
            <w:r w:rsidRPr="00DB4465">
              <w:rPr>
                <w:rFonts w:hint="eastAsia"/>
              </w:rPr>
              <w:t>的植物保护产品。考虑到符合法规</w:t>
            </w:r>
            <w:r w:rsidRPr="00DB4465">
              <w:rPr>
                <w:rFonts w:hint="eastAsia"/>
              </w:rPr>
              <w:t>(EC) No 1107/2009</w:t>
            </w:r>
            <w:r w:rsidRPr="00DB4465">
              <w:rPr>
                <w:rFonts w:hint="eastAsia"/>
              </w:rPr>
              <w:t>第</w:t>
            </w:r>
            <w:r w:rsidRPr="00DB4465">
              <w:rPr>
                <w:rFonts w:hint="eastAsia"/>
              </w:rPr>
              <w:t>46</w:t>
            </w:r>
            <w:r w:rsidRPr="00DB4465">
              <w:rPr>
                <w:rFonts w:hint="eastAsia"/>
              </w:rPr>
              <w:t>条的宽限期，最迟</w:t>
            </w:r>
            <w:r>
              <w:rPr>
                <w:rFonts w:hint="eastAsia"/>
              </w:rPr>
              <w:t>生效后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个月</w:t>
            </w:r>
            <w:r w:rsidRPr="00DB4465">
              <w:rPr>
                <w:rFonts w:hint="eastAsia"/>
              </w:rPr>
              <w:t>到期（考虑到最终使用季节）</w:t>
            </w:r>
            <w:r>
              <w:rPr>
                <w:rFonts w:hint="eastAsia"/>
                <w:bCs/>
                <w:spacing w:val="-2"/>
                <w:szCs w:val="22"/>
              </w:rPr>
              <w:t>。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</w:rPr>
            </w:pPr>
            <w:r>
              <w:rPr>
                <w:rFonts w:hint="eastAsia"/>
                <w:bCs/>
                <w:spacing w:val="-2"/>
                <w:szCs w:val="22"/>
              </w:rPr>
              <w:t>2009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10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</w:t>
            </w:r>
            <w:r>
              <w:rPr>
                <w:rFonts w:hint="eastAsia"/>
                <w:bCs/>
                <w:spacing w:val="-2"/>
                <w:szCs w:val="22"/>
              </w:rPr>
              <w:t>1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上市及撤销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指令</w:t>
            </w:r>
            <w:r>
              <w:t xml:space="preserve">79/117/EEC </w:t>
            </w:r>
            <w:r>
              <w:rPr>
                <w:rFonts w:hint="eastAsia"/>
              </w:rPr>
              <w:t>和</w:t>
            </w:r>
            <w:r>
              <w:t xml:space="preserve"> 91/414/EEC</w:t>
            </w:r>
            <w:r>
              <w:rPr>
                <w:rFonts w:hint="eastAsia"/>
              </w:rPr>
              <w:t>：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16611A">
              <w:t>http://eur-lex.europa.eu/legal-content/EN/TXT/PDF/?uri=CELEX:32009R1107&amp;qid=1437730988988&amp;from=EN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日欧盟委员会法规实施细则</w:t>
            </w:r>
            <w:r w:rsidRPr="00425343">
              <w:rPr>
                <w:spacing w:val="-2"/>
              </w:rPr>
              <w:t>(EU) No 540/2011</w:t>
            </w:r>
            <w:r>
              <w:rPr>
                <w:rFonts w:hint="eastAsia"/>
              </w:rPr>
              <w:t>执行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关于批准的活性物质清单</w:t>
            </w:r>
            <w:r w:rsidRPr="00850E90">
              <w:t>(OJ L 153, 11.6.2011, p. 1–186)</w:t>
            </w:r>
            <w:r>
              <w:rPr>
                <w:rFonts w:hint="eastAsia"/>
              </w:rPr>
              <w:t>：</w:t>
            </w:r>
          </w:p>
          <w:p w:rsidR="0060661F" w:rsidRPr="00D20EAE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20EAE">
              <w:t>http://eur-lex.europa.eu/legal-content/EN/TXT/?qid=1442928512004&amp;uri=CELEX:32011R0540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季度</w:t>
            </w:r>
          </w:p>
          <w:p w:rsidR="0060661F" w:rsidRPr="00043B3E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天（可能在</w:t>
            </w:r>
            <w:r>
              <w:rPr>
                <w:rFonts w:hint="eastAsia"/>
                <w:spacing w:val="-2"/>
                <w:szCs w:val="22"/>
              </w:rPr>
              <w:t>2017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季度前期）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61F" w:rsidRPr="00371479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60661F" w:rsidTr="0060661F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doub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60661F" w:rsidRDefault="0060661F" w:rsidP="0060661F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60661F" w:rsidRDefault="00E71A1C" w:rsidP="0060661F"/>
    <w:sectPr w:rsidR="00E71A1C" w:rsidRPr="0060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F"/>
    <w:rsid w:val="00005CDE"/>
    <w:rsid w:val="00101CA4"/>
    <w:rsid w:val="0060661F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4FB01-FFE9-4739-847C-4836512A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60661F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60661F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60661F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60661F"/>
    <w:rPr>
      <w:b/>
    </w:rPr>
  </w:style>
  <w:style w:type="paragraph" w:styleId="aa">
    <w:name w:val="header"/>
    <w:basedOn w:val="a"/>
    <w:link w:val="Char1"/>
    <w:rsid w:val="0060661F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60661F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2017-01-19T01:13:00Z</dcterms:created>
  <dcterms:modified xsi:type="dcterms:W3CDTF">2017-01-19T01:20:00Z</dcterms:modified>
</cp:coreProperties>
</file>