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57" w:rsidRDefault="00405357" w:rsidP="00405357"/>
    <w:tbl>
      <w:tblPr>
        <w:tblW w:w="8222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830"/>
        <w:gridCol w:w="2392"/>
      </w:tblGrid>
      <w:tr w:rsidR="00405357" w:rsidTr="004053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405357" w:rsidRDefault="00405357" w:rsidP="00945623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405357" w:rsidRDefault="00405357" w:rsidP="00945623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405357" w:rsidRDefault="00405357" w:rsidP="00945623">
            <w:pPr>
              <w:jc w:val="left"/>
              <w:rPr>
                <w:u w:val="single"/>
              </w:rPr>
            </w:pPr>
          </w:p>
        </w:tc>
      </w:tr>
      <w:tr w:rsidR="00405357" w:rsidTr="00405357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405357" w:rsidRDefault="00405357" w:rsidP="00945623">
            <w:pPr>
              <w:spacing w:before="240" w:line="380" w:lineRule="exact"/>
              <w:jc w:val="left"/>
            </w:pPr>
          </w:p>
        </w:tc>
        <w:tc>
          <w:tcPr>
            <w:tcW w:w="2629" w:type="dxa"/>
          </w:tcPr>
          <w:p w:rsidR="00405357" w:rsidRDefault="00405357" w:rsidP="00945623">
            <w:pPr>
              <w:jc w:val="left"/>
            </w:pPr>
          </w:p>
        </w:tc>
      </w:tr>
      <w:tr w:rsidR="00405357" w:rsidTr="004053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405357" w:rsidRDefault="00405357" w:rsidP="00945623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405357" w:rsidRDefault="00405357" w:rsidP="00945623"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A36150">
              <w:rPr>
                <w:b/>
              </w:rPr>
              <w:t>EU</w:t>
            </w:r>
            <w:r w:rsidRPr="00B761E9">
              <w:rPr>
                <w:b/>
              </w:rPr>
              <w:t>/</w:t>
            </w:r>
            <w:r>
              <w:rPr>
                <w:rFonts w:hint="eastAsia"/>
                <w:b/>
              </w:rPr>
              <w:t>384</w:t>
            </w:r>
          </w:p>
          <w:p w:rsidR="00405357" w:rsidRDefault="00405357" w:rsidP="00945623">
            <w:pPr>
              <w:jc w:val="left"/>
              <w:rPr>
                <w:rFonts w:hint="eastAsia"/>
              </w:rPr>
            </w:pPr>
            <w:r w:rsidRPr="007E4270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 w:rsidR="00405357" w:rsidTr="004053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405357" w:rsidRDefault="00405357" w:rsidP="00945623">
            <w:pPr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405357" w:rsidRDefault="00405357" w:rsidP="00945623">
            <w:pPr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6253F2">
              <w:rPr>
                <w:sz w:val="18"/>
                <w:szCs w:val="18"/>
              </w:rPr>
              <w:t>3406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405357" w:rsidTr="00405357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405357" w:rsidRDefault="00405357" w:rsidP="00945623">
            <w:pPr>
              <w:jc w:val="left"/>
            </w:pPr>
          </w:p>
        </w:tc>
        <w:tc>
          <w:tcPr>
            <w:tcW w:w="2629" w:type="dxa"/>
          </w:tcPr>
          <w:p w:rsidR="00405357" w:rsidRDefault="00405357" w:rsidP="00945623">
            <w:pPr>
              <w:jc w:val="left"/>
            </w:pPr>
          </w:p>
        </w:tc>
      </w:tr>
      <w:tr w:rsidR="00405357" w:rsidTr="004053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405357" w:rsidRDefault="00405357" w:rsidP="00945623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405357" w:rsidRDefault="00405357" w:rsidP="00945623">
            <w:pPr>
              <w:pStyle w:val="a5"/>
              <w:tabs>
                <w:tab w:val="clear" w:pos="720"/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405357" w:rsidRDefault="00405357" w:rsidP="00405357">
      <w:bookmarkStart w:id="0" w:name="_GoBack"/>
      <w:bookmarkEnd w:id="0"/>
    </w:p>
    <w:p w:rsidR="00405357" w:rsidRDefault="00405357" w:rsidP="00405357">
      <w:pPr>
        <w:pStyle w:val="a3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405357" w:rsidRDefault="00405357" w:rsidP="00405357"/>
    <w:p w:rsidR="00405357" w:rsidRDefault="00405357" w:rsidP="00405357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405357" w:rsidRDefault="00405357" w:rsidP="00405357">
      <w:pPr>
        <w:jc w:val="center"/>
      </w:pPr>
    </w:p>
    <w:tbl>
      <w:tblPr>
        <w:tblW w:w="8222" w:type="dxa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183"/>
        <w:gridCol w:w="405"/>
        <w:gridCol w:w="4974"/>
      </w:tblGrid>
      <w:tr w:rsidR="00405357" w:rsidTr="004053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405357" w:rsidRDefault="00405357" w:rsidP="00945623"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405357" w:rsidRDefault="00405357" w:rsidP="00405357">
            <w:pPr>
              <w:spacing w:beforeLines="50" w:before="12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D614C8">
              <w:rPr>
                <w:rFonts w:hint="eastAsia"/>
                <w:u w:val="single"/>
              </w:rPr>
              <w:t>欧</w:t>
            </w:r>
            <w:r>
              <w:rPr>
                <w:rFonts w:hint="eastAsia"/>
                <w:u w:val="single"/>
              </w:rPr>
              <w:t>盟</w:t>
            </w:r>
          </w:p>
          <w:p w:rsidR="00405357" w:rsidRDefault="00405357" w:rsidP="00945623"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405357" w:rsidTr="004053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357" w:rsidRDefault="00405357" w:rsidP="00945623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5357" w:rsidRPr="00880BC0" w:rsidRDefault="00405357" w:rsidP="00405357">
            <w:pPr>
              <w:pStyle w:val="a4"/>
              <w:spacing w:beforeLines="50" w:before="120" w:afterLines="50" w:after="12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Pr="009C2924">
              <w:rPr>
                <w:rFonts w:hint="eastAsia"/>
                <w:b w:val="0"/>
              </w:rPr>
              <w:t>欧盟委员会</w:t>
            </w:r>
            <w:r w:rsidRPr="00F352E1">
              <w:rPr>
                <w:b w:val="0"/>
              </w:rPr>
              <w:t xml:space="preserve"> </w:t>
            </w:r>
          </w:p>
        </w:tc>
      </w:tr>
      <w:tr w:rsidR="00405357" w:rsidTr="004053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357" w:rsidRDefault="00405357" w:rsidP="00945623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5357" w:rsidRDefault="00405357" w:rsidP="00945623"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7D0635">
              <w:rPr>
                <w:b/>
              </w:rPr>
              <w:t>X</w:t>
            </w:r>
            <w:r w:rsidRPr="007D0635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5357" w:rsidTr="004053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357" w:rsidRDefault="00405357" w:rsidP="00945623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5357" w:rsidRPr="00E4686B" w:rsidRDefault="00405357" w:rsidP="00945623"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杀虫剂活性物质</w:t>
            </w:r>
          </w:p>
          <w:p w:rsidR="00405357" w:rsidRDefault="00405357" w:rsidP="00405357">
            <w:pPr>
              <w:spacing w:afterLines="50" w:after="12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405357" w:rsidTr="004053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357" w:rsidRDefault="00405357" w:rsidP="00945623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5357" w:rsidRPr="008B5EDC" w:rsidRDefault="00405357" w:rsidP="00945623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 w:rsidRPr="00526ED6">
              <w:rPr>
                <w:rFonts w:hint="eastAsia"/>
              </w:rPr>
              <w:t xml:space="preserve"> </w:t>
            </w:r>
            <w:r w:rsidRPr="00526ED6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授权法规草案，依照法规</w:t>
            </w:r>
            <w:r w:rsidRPr="00425343">
              <w:rPr>
                <w:spacing w:val="-2"/>
              </w:rPr>
              <w:t>(EU) No 528/2012</w:t>
            </w:r>
            <w:r>
              <w:rPr>
                <w:rFonts w:hint="eastAsia"/>
              </w:rPr>
              <w:t>宣布确定</w:t>
            </w:r>
            <w:r w:rsidRPr="00981AD9">
              <w:rPr>
                <w:rFonts w:hint="eastAsia"/>
              </w:rPr>
              <w:t>内分泌干扰</w:t>
            </w:r>
            <w:r>
              <w:rPr>
                <w:rFonts w:hint="eastAsia"/>
              </w:rPr>
              <w:t>物</w:t>
            </w:r>
            <w:r w:rsidRPr="00981AD9">
              <w:rPr>
                <w:rFonts w:hint="eastAsia"/>
              </w:rPr>
              <w:t>特性</w:t>
            </w:r>
            <w:r>
              <w:rPr>
                <w:rFonts w:hint="eastAsia"/>
              </w:rPr>
              <w:t>的科学标准</w:t>
            </w:r>
            <w:r w:rsidRPr="00342983"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页，</w:t>
            </w:r>
            <w:r w:rsidRPr="007841F4">
              <w:rPr>
                <w:rFonts w:hint="eastAsia"/>
              </w:rPr>
              <w:t>英语</w:t>
            </w:r>
            <w:r>
              <w:rPr>
                <w:rFonts w:hint="eastAsia"/>
              </w:rPr>
              <w:t>）</w:t>
            </w:r>
          </w:p>
        </w:tc>
      </w:tr>
      <w:tr w:rsidR="00405357" w:rsidRPr="00CF2612" w:rsidTr="004053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357" w:rsidRDefault="00405357" w:rsidP="00945623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5357" w:rsidRDefault="00405357" w:rsidP="00405357">
            <w:pPr>
              <w:spacing w:beforeLines="50" w:before="120"/>
              <w:ind w:left="110" w:hangingChars="50" w:hanging="11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</w:p>
          <w:p w:rsidR="00405357" w:rsidRDefault="00405357" w:rsidP="00405357">
            <w:pPr>
              <w:spacing w:beforeLines="50" w:before="120"/>
              <w:rPr>
                <w:rFonts w:hint="eastAsia"/>
              </w:rPr>
            </w:pPr>
            <w:r w:rsidRPr="00D945E3">
              <w:rPr>
                <w:rFonts w:hint="eastAsia"/>
              </w:rPr>
              <w:t>本</w:t>
            </w:r>
            <w:r w:rsidRPr="00526ED6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法规草案规定了依照法规</w:t>
            </w:r>
            <w:r>
              <w:rPr>
                <w:spacing w:val="-2"/>
              </w:rPr>
              <w:t>(EU) No 528/2012</w:t>
            </w:r>
            <w:r>
              <w:rPr>
                <w:rFonts w:hint="eastAsia"/>
              </w:rPr>
              <w:t>在</w:t>
            </w:r>
            <w:r w:rsidRPr="008B5EDC">
              <w:rPr>
                <w:rFonts w:hint="eastAsia"/>
              </w:rPr>
              <w:t>植物保护产品</w:t>
            </w:r>
            <w:r>
              <w:rPr>
                <w:rFonts w:hint="eastAsia"/>
              </w:rPr>
              <w:t>中使用的活性物质核准的</w:t>
            </w:r>
            <w:r w:rsidRPr="00981AD9">
              <w:rPr>
                <w:rFonts w:hint="eastAsia"/>
              </w:rPr>
              <w:t>内分泌干扰</w:t>
            </w:r>
            <w:r>
              <w:rPr>
                <w:rFonts w:hint="eastAsia"/>
              </w:rPr>
              <w:t>物</w:t>
            </w:r>
            <w:r w:rsidRPr="00981AD9">
              <w:rPr>
                <w:rFonts w:hint="eastAsia"/>
              </w:rPr>
              <w:t>特性</w:t>
            </w:r>
            <w:r>
              <w:rPr>
                <w:rFonts w:hint="eastAsia"/>
              </w:rPr>
              <w:t>具体科学标准。标准基于世界卫生组织（</w:t>
            </w:r>
            <w:r>
              <w:rPr>
                <w:rFonts w:hint="eastAsia"/>
              </w:rPr>
              <w:t>WTO</w:t>
            </w:r>
            <w:r>
              <w:rPr>
                <w:rFonts w:hint="eastAsia"/>
              </w:rPr>
              <w:t>）通过</w:t>
            </w:r>
            <w:r w:rsidRPr="00981AD9">
              <w:rPr>
                <w:rFonts w:hint="eastAsia"/>
              </w:rPr>
              <w:t>化学物质安全国际计划</w:t>
            </w:r>
            <w:r>
              <w:rPr>
                <w:rFonts w:hint="eastAsia"/>
              </w:rPr>
              <w:t>（</w:t>
            </w:r>
            <w:r>
              <w:t>WHO/IPCS</w:t>
            </w:r>
            <w:r>
              <w:rPr>
                <w:rFonts w:hint="eastAsia"/>
              </w:rPr>
              <w:t>）于</w:t>
            </w:r>
            <w:r>
              <w:rPr>
                <w:rFonts w:hint="eastAsia"/>
              </w:rPr>
              <w:t>2002</w:t>
            </w:r>
            <w:r>
              <w:rPr>
                <w:rFonts w:hint="eastAsia"/>
              </w:rPr>
              <w:t>年公布的</w:t>
            </w:r>
            <w:r w:rsidRPr="00981AD9">
              <w:rPr>
                <w:rFonts w:hint="eastAsia"/>
              </w:rPr>
              <w:t>内分泌干扰</w:t>
            </w:r>
            <w:r>
              <w:rPr>
                <w:rFonts w:hint="eastAsia"/>
              </w:rPr>
              <w:t>物定义。法规草案先于影响评估和公开评议。</w:t>
            </w:r>
          </w:p>
          <w:p w:rsidR="00405357" w:rsidRPr="00CF2612" w:rsidRDefault="00405357" w:rsidP="00405357">
            <w:pPr>
              <w:spacing w:afterLines="50"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</w:rPr>
              <w:t>依照法规</w:t>
            </w:r>
            <w:r>
              <w:rPr>
                <w:spacing w:val="-2"/>
              </w:rPr>
              <w:t>(EU) No 528/2012</w:t>
            </w:r>
            <w:r>
              <w:rPr>
                <w:rFonts w:hint="eastAsia"/>
              </w:rPr>
              <w:t>，如果物质是符合本法规草案规定标准的</w:t>
            </w:r>
            <w:r w:rsidRPr="00981AD9">
              <w:rPr>
                <w:rFonts w:hint="eastAsia"/>
              </w:rPr>
              <w:t>内分泌干扰</w:t>
            </w:r>
            <w:r>
              <w:rPr>
                <w:rFonts w:hint="eastAsia"/>
              </w:rPr>
              <w:t>物，则不批准用于</w:t>
            </w:r>
            <w:r w:rsidRPr="008B5EDC">
              <w:rPr>
                <w:rFonts w:hint="eastAsia"/>
              </w:rPr>
              <w:t>植物保护产品</w:t>
            </w:r>
            <w:r>
              <w:rPr>
                <w:rFonts w:hint="eastAsia"/>
              </w:rPr>
              <w:t>和处理用产品，除非符合第</w:t>
            </w:r>
            <w:r>
              <w:t>5(2)</w:t>
            </w:r>
            <w:r>
              <w:rPr>
                <w:rFonts w:hint="eastAsia"/>
              </w:rPr>
              <w:t>条规定的条件。</w:t>
            </w:r>
          </w:p>
        </w:tc>
      </w:tr>
      <w:tr w:rsidR="00405357" w:rsidTr="004053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357" w:rsidRDefault="00405357" w:rsidP="00945623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5357" w:rsidRDefault="00405357" w:rsidP="00405357">
            <w:pPr>
              <w:spacing w:beforeLines="50" w:before="120"/>
              <w:ind w:left="110" w:hangingChars="50" w:hanging="110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 w:rsidRPr="00425343">
              <w:rPr>
                <w:bCs/>
                <w:spacing w:val="-2"/>
                <w:szCs w:val="22"/>
              </w:rPr>
              <w:t xml:space="preserve"> </w:t>
            </w:r>
          </w:p>
          <w:p w:rsidR="00405357" w:rsidRDefault="00405357" w:rsidP="00405357">
            <w:pPr>
              <w:spacing w:beforeLines="50" w:before="120"/>
              <w:ind w:left="108" w:hangingChars="50" w:hanging="108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Cs/>
                <w:spacing w:val="-2"/>
                <w:szCs w:val="22"/>
              </w:rPr>
              <w:t>保护人类和动物健康；保护环境。</w:t>
            </w:r>
          </w:p>
          <w:p w:rsidR="00405357" w:rsidRDefault="00405357" w:rsidP="00405357">
            <w:pPr>
              <w:ind w:left="110" w:hangingChars="50" w:hanging="110"/>
              <w:rPr>
                <w:rFonts w:hint="eastAsia"/>
              </w:rPr>
            </w:pPr>
            <w:r>
              <w:rPr>
                <w:rFonts w:hint="eastAsia"/>
              </w:rPr>
              <w:t>法规</w:t>
            </w:r>
            <w:r>
              <w:rPr>
                <w:spacing w:val="-2"/>
              </w:rPr>
              <w:t>(EU) No 528/2012</w:t>
            </w:r>
            <w:r>
              <w:rPr>
                <w:rFonts w:hint="eastAsia"/>
              </w:rPr>
              <w:t>要求欧盟委员会批准确定</w:t>
            </w:r>
            <w:r w:rsidRPr="00981AD9">
              <w:rPr>
                <w:rFonts w:hint="eastAsia"/>
              </w:rPr>
              <w:t>内分泌干扰</w:t>
            </w:r>
            <w:r>
              <w:rPr>
                <w:rFonts w:hint="eastAsia"/>
              </w:rPr>
              <w:t>物</w:t>
            </w:r>
            <w:r w:rsidRPr="00981AD9">
              <w:rPr>
                <w:rFonts w:hint="eastAsia"/>
              </w:rPr>
              <w:t>特性</w:t>
            </w:r>
            <w:r>
              <w:rPr>
                <w:rFonts w:hint="eastAsia"/>
              </w:rPr>
              <w:t>的具体科学标准。</w:t>
            </w:r>
            <w:r>
              <w:rPr>
                <w:rFonts w:hint="eastAsia"/>
              </w:rPr>
              <w:t xml:space="preserve"> </w:t>
            </w:r>
          </w:p>
          <w:p w:rsidR="00405357" w:rsidRDefault="00405357" w:rsidP="00405357">
            <w:pPr>
              <w:ind w:left="110" w:hangingChars="50" w:hanging="110"/>
              <w:rPr>
                <w:rFonts w:hint="eastAsia"/>
              </w:rPr>
            </w:pPr>
            <w:r>
              <w:rPr>
                <w:rFonts w:hint="eastAsia"/>
              </w:rPr>
              <w:t>批准时这些标准将代替现在适用的临时标准。</w:t>
            </w:r>
          </w:p>
          <w:p w:rsidR="00405357" w:rsidRPr="008B5EDC" w:rsidRDefault="00405357" w:rsidP="00405357">
            <w:pPr>
              <w:spacing w:afterLines="50" w:after="120"/>
              <w:rPr>
                <w:rFonts w:hint="eastAsia"/>
              </w:rPr>
            </w:pPr>
            <w:r>
              <w:rPr>
                <w:rFonts w:hint="eastAsia"/>
              </w:rPr>
              <w:t>新标准基于最新科学信息并确保更有效地保护人类健康、动物健康和环境。</w:t>
            </w:r>
          </w:p>
        </w:tc>
      </w:tr>
      <w:tr w:rsidR="00405357" w:rsidTr="004053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357" w:rsidRDefault="00405357" w:rsidP="00945623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5357" w:rsidRDefault="00405357" w:rsidP="00405357">
            <w:pPr>
              <w:spacing w:beforeLines="50"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</w:p>
          <w:p w:rsidR="00405357" w:rsidRDefault="00405357" w:rsidP="00945623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bCs/>
                <w:spacing w:val="-2"/>
                <w:szCs w:val="22"/>
              </w:rPr>
              <w:t>·</w:t>
            </w:r>
            <w:r w:rsidRPr="006253F2">
              <w:rPr>
                <w:rFonts w:hint="eastAsia"/>
                <w:bCs/>
                <w:spacing w:val="-2"/>
                <w:szCs w:val="22"/>
              </w:rPr>
              <w:t>2012</w:t>
            </w:r>
            <w:r w:rsidRPr="006253F2">
              <w:rPr>
                <w:rFonts w:hint="eastAsia"/>
                <w:bCs/>
                <w:spacing w:val="-2"/>
                <w:szCs w:val="22"/>
              </w:rPr>
              <w:t>年</w:t>
            </w:r>
            <w:r w:rsidRPr="006253F2">
              <w:rPr>
                <w:rFonts w:hint="eastAsia"/>
                <w:bCs/>
                <w:spacing w:val="-2"/>
                <w:szCs w:val="22"/>
              </w:rPr>
              <w:t>5</w:t>
            </w:r>
            <w:r w:rsidRPr="006253F2">
              <w:rPr>
                <w:rFonts w:hint="eastAsia"/>
                <w:bCs/>
                <w:spacing w:val="-2"/>
                <w:szCs w:val="22"/>
              </w:rPr>
              <w:t>月</w:t>
            </w:r>
            <w:r w:rsidRPr="006253F2">
              <w:rPr>
                <w:rFonts w:hint="eastAsia"/>
                <w:bCs/>
                <w:spacing w:val="-2"/>
                <w:szCs w:val="22"/>
              </w:rPr>
              <w:t>22</w:t>
            </w:r>
            <w:r w:rsidRPr="006253F2">
              <w:rPr>
                <w:rFonts w:hint="eastAsia"/>
                <w:bCs/>
                <w:spacing w:val="-2"/>
                <w:szCs w:val="22"/>
              </w:rPr>
              <w:t>日欧洲议会和理事会关于生物农药产品上市和使用的法规</w:t>
            </w:r>
            <w:r w:rsidRPr="006253F2">
              <w:rPr>
                <w:rFonts w:hint="eastAsia"/>
                <w:bCs/>
                <w:spacing w:val="-2"/>
                <w:szCs w:val="22"/>
              </w:rPr>
              <w:t>(EU) No 528/2012</w:t>
            </w:r>
            <w:r>
              <w:rPr>
                <w:rFonts w:hint="eastAsia"/>
              </w:rPr>
              <w:t>：</w:t>
            </w:r>
          </w:p>
          <w:p w:rsidR="00405357" w:rsidRDefault="00405357" w:rsidP="00945623">
            <w:pPr>
              <w:rPr>
                <w:rFonts w:hint="eastAsia"/>
              </w:rPr>
            </w:pPr>
            <w:r w:rsidRPr="006253F2">
              <w:t>http://eur-lex.europa.eu/legal-content/EN/TXT/?qid=1464708384175&amp;uri=CELEX:02012R0528-20140425</w:t>
            </w:r>
          </w:p>
          <w:p w:rsidR="00405357" w:rsidRDefault="00405357" w:rsidP="00945623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·欧盟委员会公报：</w:t>
            </w:r>
          </w:p>
          <w:p w:rsidR="00405357" w:rsidRDefault="00405357" w:rsidP="00945623">
            <w:pPr>
              <w:rPr>
                <w:rFonts w:hint="eastAsia"/>
              </w:rPr>
            </w:pPr>
            <w:r w:rsidRPr="00016A2D">
              <w:t>http://ec.europa.eu/health/endocrine_disruptors/docs/com_2016_350_en.pdf</w:t>
            </w:r>
          </w:p>
          <w:p w:rsidR="00405357" w:rsidRDefault="00405357" w:rsidP="00945623">
            <w:pPr>
              <w:rPr>
                <w:rFonts w:hint="eastAsia"/>
              </w:rPr>
            </w:pPr>
            <w:r>
              <w:rPr>
                <w:rFonts w:hint="eastAsia"/>
              </w:rPr>
              <w:t>·公开评议报告：</w:t>
            </w:r>
          </w:p>
          <w:p w:rsidR="00405357" w:rsidRDefault="00405357" w:rsidP="00945623">
            <w:pPr>
              <w:rPr>
                <w:rFonts w:hint="eastAsia"/>
              </w:rPr>
            </w:pPr>
            <w:r w:rsidRPr="00016A2D">
              <w:t>http://ec.europa.eu/dgs/health_food-safety/dgs_consultations/food/consultation_20150116_endocrine-disruptors_en.htm</w:t>
            </w:r>
          </w:p>
          <w:p w:rsidR="00405357" w:rsidRDefault="00405357" w:rsidP="00945623">
            <w:pPr>
              <w:rPr>
                <w:rFonts w:hint="eastAsia"/>
              </w:rPr>
            </w:pPr>
            <w:r>
              <w:rPr>
                <w:rFonts w:hint="eastAsia"/>
              </w:rPr>
              <w:t>·影响评估：</w:t>
            </w:r>
          </w:p>
          <w:p w:rsidR="00405357" w:rsidRPr="00031FEC" w:rsidRDefault="00405357" w:rsidP="00405357">
            <w:pPr>
              <w:spacing w:afterLines="50" w:after="120"/>
              <w:rPr>
                <w:rFonts w:hint="eastAsia"/>
              </w:rPr>
            </w:pPr>
            <w:r w:rsidRPr="00016A2D">
              <w:t>http://ec.europa.eu/health/endocrine_disruptors/policy/index_en.htm</w:t>
            </w:r>
          </w:p>
        </w:tc>
      </w:tr>
      <w:tr w:rsidR="00405357" w:rsidTr="004053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357" w:rsidRDefault="00405357" w:rsidP="00945623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5357" w:rsidRDefault="00405357" w:rsidP="00945623"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405357" w:rsidRDefault="00405357" w:rsidP="00945623"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05357" w:rsidRDefault="00405357" w:rsidP="00945623"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5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357" w:rsidRDefault="00405357" w:rsidP="00945623">
            <w:pPr>
              <w:spacing w:before="120"/>
              <w:rPr>
                <w:rFonts w:hint="eastAsia"/>
              </w:rPr>
            </w:pPr>
            <w:r w:rsidRPr="00425343"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4</w:t>
            </w:r>
            <w:r>
              <w:rPr>
                <w:rFonts w:hint="eastAsia"/>
                <w:spacing w:val="-2"/>
                <w:szCs w:val="22"/>
              </w:rPr>
              <w:t>季度</w:t>
            </w:r>
          </w:p>
          <w:p w:rsidR="00405357" w:rsidRPr="00043B3E" w:rsidRDefault="00405357" w:rsidP="00945623">
            <w:pPr>
              <w:spacing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2017/01/01</w:t>
            </w:r>
          </w:p>
        </w:tc>
      </w:tr>
      <w:tr w:rsidR="00405357" w:rsidTr="004053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357" w:rsidRDefault="00405357" w:rsidP="00945623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5357" w:rsidRPr="00371479" w:rsidRDefault="00405357" w:rsidP="00945623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Pr="00973A71">
              <w:t xml:space="preserve"> </w:t>
            </w:r>
            <w:r w:rsidRPr="00371479">
              <w:rPr>
                <w:rFonts w:hint="eastAsia"/>
              </w:rPr>
              <w:t>通报</w:t>
            </w:r>
            <w:r>
              <w:rPr>
                <w:rFonts w:hint="eastAsia"/>
              </w:rPr>
              <w:t>之后</w:t>
            </w:r>
            <w:r>
              <w:rPr>
                <w:rFonts w:hint="eastAsia"/>
              </w:rPr>
              <w:t>6</w:t>
            </w:r>
            <w:r w:rsidRPr="00371479">
              <w:rPr>
                <w:rFonts w:hint="eastAsia"/>
              </w:rPr>
              <w:t>0</w:t>
            </w:r>
            <w:r w:rsidRPr="00371479">
              <w:rPr>
                <w:rFonts w:hint="eastAsia"/>
              </w:rPr>
              <w:t>天</w:t>
            </w:r>
          </w:p>
        </w:tc>
      </w:tr>
      <w:tr w:rsidR="00405357" w:rsidTr="004053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405357" w:rsidRDefault="00405357" w:rsidP="00945623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405357" w:rsidRDefault="00405357" w:rsidP="00945623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E25EB5" w:rsidRPr="00405357" w:rsidRDefault="00E25EB5" w:rsidP="00405357"/>
    <w:sectPr w:rsidR="00E25EB5" w:rsidRPr="00405357" w:rsidSect="00405357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57"/>
    <w:rsid w:val="00405357"/>
    <w:rsid w:val="00E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57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405357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405357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toa heading"/>
    <w:basedOn w:val="a"/>
    <w:next w:val="a"/>
    <w:semiHidden/>
    <w:rsid w:val="00405357"/>
    <w:rPr>
      <w:b/>
    </w:rPr>
  </w:style>
  <w:style w:type="paragraph" w:styleId="a5">
    <w:name w:val="header"/>
    <w:basedOn w:val="a"/>
    <w:link w:val="Char0"/>
    <w:rsid w:val="00405357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5"/>
    <w:rsid w:val="00405357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57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405357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405357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toa heading"/>
    <w:basedOn w:val="a"/>
    <w:next w:val="a"/>
    <w:semiHidden/>
    <w:rsid w:val="00405357"/>
    <w:rPr>
      <w:b/>
    </w:rPr>
  </w:style>
  <w:style w:type="paragraph" w:styleId="a5">
    <w:name w:val="header"/>
    <w:basedOn w:val="a"/>
    <w:link w:val="Char0"/>
    <w:rsid w:val="00405357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5"/>
    <w:rsid w:val="00405357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质标所</dc:creator>
  <cp:lastModifiedBy>质标所</cp:lastModifiedBy>
  <cp:revision>1</cp:revision>
  <dcterms:created xsi:type="dcterms:W3CDTF">2016-07-02T01:31:00Z</dcterms:created>
  <dcterms:modified xsi:type="dcterms:W3CDTF">2016-07-02T01:34:00Z</dcterms:modified>
</cp:coreProperties>
</file>