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5" w:type="dxa"/>
        <w:jc w:val="center"/>
        <w:tblLayout w:type="fixed"/>
        <w:tblLook w:val="0000" w:firstRow="0" w:lastRow="0" w:firstColumn="0" w:lastColumn="0" w:noHBand="0" w:noVBand="0"/>
      </w:tblPr>
      <w:tblGrid>
        <w:gridCol w:w="5911"/>
        <w:gridCol w:w="2424"/>
      </w:tblGrid>
      <w:tr w:rsidR="009B39DB" w:rsidRPr="009B39DB" w:rsidTr="009B39DB">
        <w:trPr>
          <w:jc w:val="center"/>
        </w:trPr>
        <w:tc>
          <w:tcPr>
            <w:tcW w:w="5911" w:type="dxa"/>
            <w:vMerge w:val="restart"/>
          </w:tcPr>
          <w:p w:rsidR="009B39DB" w:rsidRPr="009B39DB" w:rsidRDefault="009B39DB" w:rsidP="00E042AD">
            <w:pPr>
              <w:spacing w:line="360" w:lineRule="auto"/>
              <w:jc w:val="left"/>
              <w:rPr>
                <w:rFonts w:hint="eastAsia"/>
                <w:b/>
                <w:smallCaps/>
                <w:color w:val="000000" w:themeColor="text1"/>
                <w:sz w:val="44"/>
              </w:rPr>
            </w:pPr>
            <w:r w:rsidRPr="009B39DB">
              <w:rPr>
                <w:rFonts w:hint="eastAsia"/>
                <w:b/>
                <w:smallCaps/>
                <w:color w:val="000000" w:themeColor="text1"/>
                <w:sz w:val="44"/>
              </w:rPr>
              <w:t>世界贸易组织</w:t>
            </w:r>
          </w:p>
          <w:p w:rsidR="009B39DB" w:rsidRPr="009B39DB" w:rsidRDefault="009B39DB" w:rsidP="00E042AD">
            <w:pPr>
              <w:jc w:val="left"/>
              <w:rPr>
                <w:b/>
                <w:smallCaps/>
                <w:color w:val="000000" w:themeColor="text1"/>
                <w:sz w:val="18"/>
              </w:rPr>
            </w:pPr>
          </w:p>
        </w:tc>
        <w:tc>
          <w:tcPr>
            <w:tcW w:w="2424" w:type="dxa"/>
          </w:tcPr>
          <w:p w:rsidR="009B39DB" w:rsidRPr="009B39DB" w:rsidRDefault="009B39DB" w:rsidP="00E042AD">
            <w:pPr>
              <w:jc w:val="left"/>
              <w:rPr>
                <w:color w:val="000000" w:themeColor="text1"/>
                <w:u w:val="single"/>
              </w:rPr>
            </w:pPr>
          </w:p>
        </w:tc>
      </w:tr>
      <w:tr w:rsidR="009B39DB" w:rsidRPr="009B39DB" w:rsidTr="009B39DB">
        <w:trPr>
          <w:trHeight w:hRule="exact" w:val="120"/>
          <w:jc w:val="center"/>
        </w:trPr>
        <w:tc>
          <w:tcPr>
            <w:tcW w:w="5911" w:type="dxa"/>
            <w:vMerge/>
          </w:tcPr>
          <w:p w:rsidR="009B39DB" w:rsidRPr="009B39DB" w:rsidRDefault="009B39DB" w:rsidP="00E042AD">
            <w:pPr>
              <w:spacing w:before="240" w:line="380" w:lineRule="exact"/>
              <w:jc w:val="left"/>
              <w:rPr>
                <w:color w:val="000000" w:themeColor="text1"/>
              </w:rPr>
            </w:pPr>
          </w:p>
        </w:tc>
        <w:tc>
          <w:tcPr>
            <w:tcW w:w="2424" w:type="dxa"/>
          </w:tcPr>
          <w:p w:rsidR="009B39DB" w:rsidRPr="009B39DB" w:rsidRDefault="009B39DB" w:rsidP="00E042AD">
            <w:pPr>
              <w:jc w:val="left"/>
              <w:rPr>
                <w:color w:val="000000" w:themeColor="text1"/>
              </w:rPr>
            </w:pPr>
          </w:p>
        </w:tc>
      </w:tr>
      <w:tr w:rsidR="009B39DB" w:rsidRPr="009B39DB" w:rsidTr="009B39DB">
        <w:trPr>
          <w:jc w:val="center"/>
        </w:trPr>
        <w:tc>
          <w:tcPr>
            <w:tcW w:w="5911" w:type="dxa"/>
            <w:vMerge/>
          </w:tcPr>
          <w:p w:rsidR="009B39DB" w:rsidRPr="009B39DB" w:rsidRDefault="009B39DB" w:rsidP="00E042AD">
            <w:pPr>
              <w:spacing w:before="240" w:line="380" w:lineRule="exact"/>
              <w:jc w:val="left"/>
              <w:rPr>
                <w:smallCaps/>
                <w:color w:val="000000" w:themeColor="text1"/>
                <w:sz w:val="44"/>
              </w:rPr>
            </w:pPr>
          </w:p>
        </w:tc>
        <w:tc>
          <w:tcPr>
            <w:tcW w:w="2424" w:type="dxa"/>
          </w:tcPr>
          <w:p w:rsidR="009B39DB" w:rsidRPr="009B39DB" w:rsidRDefault="009B39DB" w:rsidP="00E042AD">
            <w:pPr>
              <w:jc w:val="left"/>
              <w:rPr>
                <w:rFonts w:hint="eastAsia"/>
                <w:b/>
                <w:color w:val="000000" w:themeColor="text1"/>
                <w:lang w:val="es-GT"/>
              </w:rPr>
            </w:pPr>
            <w:r w:rsidRPr="009B39DB">
              <w:rPr>
                <w:b/>
                <w:color w:val="000000" w:themeColor="text1"/>
                <w:lang w:val="es-GT"/>
              </w:rPr>
              <w:t>G/TBT/N/EU/</w:t>
            </w:r>
            <w:r w:rsidRPr="009B39DB">
              <w:rPr>
                <w:rFonts w:hint="eastAsia"/>
                <w:b/>
                <w:color w:val="000000" w:themeColor="text1"/>
                <w:lang w:val="es-GT"/>
              </w:rPr>
              <w:t>375</w:t>
            </w:r>
          </w:p>
          <w:p w:rsidR="009B39DB" w:rsidRPr="009B39DB" w:rsidRDefault="009B39DB" w:rsidP="00E042AD">
            <w:pPr>
              <w:jc w:val="left"/>
              <w:rPr>
                <w:rFonts w:hint="eastAsia"/>
                <w:color w:val="000000" w:themeColor="text1"/>
                <w:lang w:val="es-GT"/>
              </w:rPr>
            </w:pPr>
            <w:r w:rsidRPr="009B39DB">
              <w:rPr>
                <w:color w:val="000000" w:themeColor="text1"/>
                <w:lang w:val="es-GT"/>
              </w:rPr>
              <w:t>201</w:t>
            </w:r>
            <w:r w:rsidRPr="009B39DB">
              <w:rPr>
                <w:rFonts w:hint="eastAsia"/>
                <w:color w:val="000000" w:themeColor="text1"/>
                <w:lang w:val="es-GT"/>
              </w:rPr>
              <w:t>6</w:t>
            </w:r>
            <w:r w:rsidRPr="009B39DB">
              <w:rPr>
                <w:rFonts w:hint="eastAsia"/>
                <w:color w:val="000000" w:themeColor="text1"/>
              </w:rPr>
              <w:t>年</w:t>
            </w:r>
            <w:r w:rsidRPr="009B39DB">
              <w:rPr>
                <w:rFonts w:hint="eastAsia"/>
                <w:color w:val="000000" w:themeColor="text1"/>
                <w:lang w:val="es-GT"/>
              </w:rPr>
              <w:t>5</w:t>
            </w:r>
            <w:r w:rsidRPr="009B39DB">
              <w:rPr>
                <w:rFonts w:hint="eastAsia"/>
                <w:color w:val="000000" w:themeColor="text1"/>
              </w:rPr>
              <w:t>月</w:t>
            </w:r>
            <w:r w:rsidRPr="009B39DB">
              <w:rPr>
                <w:rFonts w:hint="eastAsia"/>
                <w:color w:val="000000" w:themeColor="text1"/>
                <w:lang w:val="es-GT"/>
              </w:rPr>
              <w:t>4</w:t>
            </w:r>
            <w:r w:rsidRPr="009B39DB">
              <w:rPr>
                <w:rFonts w:hint="eastAsia"/>
                <w:color w:val="000000" w:themeColor="text1"/>
              </w:rPr>
              <w:t>日</w:t>
            </w:r>
          </w:p>
        </w:tc>
      </w:tr>
      <w:tr w:rsidR="009B39DB" w:rsidRPr="009B39DB" w:rsidTr="009B39DB">
        <w:trPr>
          <w:jc w:val="center"/>
        </w:trPr>
        <w:tc>
          <w:tcPr>
            <w:tcW w:w="5911" w:type="dxa"/>
            <w:tcBorders>
              <w:bottom w:val="single" w:sz="4" w:space="0" w:color="auto"/>
            </w:tcBorders>
          </w:tcPr>
          <w:p w:rsidR="009B39DB" w:rsidRPr="009B39DB" w:rsidRDefault="009B39DB" w:rsidP="00E042AD">
            <w:pPr>
              <w:jc w:val="left"/>
              <w:rPr>
                <w:color w:val="000000" w:themeColor="text1"/>
                <w:lang w:val="es-GT"/>
              </w:rPr>
            </w:pPr>
          </w:p>
        </w:tc>
        <w:tc>
          <w:tcPr>
            <w:tcW w:w="2424" w:type="dxa"/>
            <w:tcBorders>
              <w:bottom w:val="single" w:sz="4" w:space="0" w:color="auto"/>
            </w:tcBorders>
          </w:tcPr>
          <w:p w:rsidR="009B39DB" w:rsidRPr="009B39DB" w:rsidRDefault="009B39DB" w:rsidP="00E042AD">
            <w:pPr>
              <w:jc w:val="left"/>
              <w:rPr>
                <w:color w:val="000000" w:themeColor="text1"/>
                <w:sz w:val="18"/>
              </w:rPr>
            </w:pPr>
            <w:r w:rsidRPr="009B39DB">
              <w:rPr>
                <w:color w:val="000000" w:themeColor="text1"/>
                <w:sz w:val="18"/>
                <w:szCs w:val="18"/>
              </w:rPr>
              <w:t>(1</w:t>
            </w:r>
            <w:r w:rsidRPr="009B39DB">
              <w:rPr>
                <w:rFonts w:hint="eastAsia"/>
                <w:color w:val="000000" w:themeColor="text1"/>
                <w:sz w:val="18"/>
                <w:szCs w:val="18"/>
              </w:rPr>
              <w:t>6</w:t>
            </w:r>
            <w:r w:rsidRPr="009B39DB">
              <w:rPr>
                <w:color w:val="000000" w:themeColor="text1"/>
                <w:sz w:val="18"/>
                <w:szCs w:val="18"/>
              </w:rPr>
              <w:t>-2502)</w:t>
            </w:r>
          </w:p>
        </w:tc>
      </w:tr>
      <w:tr w:rsidR="009B39DB" w:rsidRPr="009B39DB" w:rsidTr="009B39DB">
        <w:trPr>
          <w:trHeight w:hRule="exact" w:val="160"/>
          <w:jc w:val="center"/>
        </w:trPr>
        <w:tc>
          <w:tcPr>
            <w:tcW w:w="5911" w:type="dxa"/>
          </w:tcPr>
          <w:p w:rsidR="009B39DB" w:rsidRPr="009B39DB" w:rsidRDefault="009B39DB" w:rsidP="00E042AD">
            <w:pPr>
              <w:jc w:val="left"/>
              <w:rPr>
                <w:color w:val="000000" w:themeColor="text1"/>
              </w:rPr>
            </w:pPr>
          </w:p>
        </w:tc>
        <w:tc>
          <w:tcPr>
            <w:tcW w:w="2424" w:type="dxa"/>
          </w:tcPr>
          <w:p w:rsidR="009B39DB" w:rsidRPr="009B39DB" w:rsidRDefault="009B39DB" w:rsidP="00E042AD">
            <w:pPr>
              <w:jc w:val="left"/>
              <w:rPr>
                <w:color w:val="000000" w:themeColor="text1"/>
              </w:rPr>
            </w:pPr>
          </w:p>
        </w:tc>
      </w:tr>
      <w:tr w:rsidR="009B39DB" w:rsidRPr="009B39DB" w:rsidTr="009B39DB">
        <w:trPr>
          <w:jc w:val="center"/>
        </w:trPr>
        <w:tc>
          <w:tcPr>
            <w:tcW w:w="5911" w:type="dxa"/>
          </w:tcPr>
          <w:p w:rsidR="009B39DB" w:rsidRPr="009B39DB" w:rsidRDefault="009B39DB" w:rsidP="00E042AD">
            <w:pPr>
              <w:jc w:val="left"/>
              <w:rPr>
                <w:rFonts w:hint="eastAsia"/>
                <w:b/>
                <w:color w:val="000000" w:themeColor="text1"/>
              </w:rPr>
            </w:pPr>
            <w:r w:rsidRPr="009B39DB">
              <w:rPr>
                <w:rFonts w:hint="eastAsia"/>
                <w:b/>
                <w:color w:val="000000" w:themeColor="text1"/>
              </w:rPr>
              <w:t>贸易技术壁垒委员会</w:t>
            </w:r>
          </w:p>
        </w:tc>
        <w:tc>
          <w:tcPr>
            <w:tcW w:w="2424" w:type="dxa"/>
          </w:tcPr>
          <w:p w:rsidR="009B39DB" w:rsidRPr="009B39DB" w:rsidRDefault="009B39DB" w:rsidP="00E042AD">
            <w:pPr>
              <w:pStyle w:val="a3"/>
              <w:tabs>
                <w:tab w:val="clear" w:pos="720"/>
                <w:tab w:val="left" w:pos="962"/>
              </w:tabs>
              <w:rPr>
                <w:rFonts w:hint="eastAsia"/>
                <w:color w:val="000000" w:themeColor="text1"/>
              </w:rPr>
            </w:pPr>
            <w:r w:rsidRPr="009B39DB">
              <w:rPr>
                <w:rFonts w:hint="eastAsia"/>
                <w:color w:val="000000" w:themeColor="text1"/>
              </w:rPr>
              <w:t>原文：英语</w:t>
            </w:r>
          </w:p>
        </w:tc>
      </w:tr>
    </w:tbl>
    <w:p w:rsidR="009B39DB" w:rsidRDefault="009B39DB" w:rsidP="009B39DB"/>
    <w:p w:rsidR="009B39DB" w:rsidRDefault="009B39DB" w:rsidP="009B39DB">
      <w:pPr>
        <w:pStyle w:val="a4"/>
        <w:rPr>
          <w:rFonts w:hint="eastAsia"/>
          <w:sz w:val="30"/>
        </w:rPr>
      </w:pPr>
      <w:r>
        <w:rPr>
          <w:rFonts w:hint="eastAsia"/>
          <w:sz w:val="30"/>
        </w:rPr>
        <w:t>通</w:t>
      </w:r>
      <w:r>
        <w:rPr>
          <w:rFonts w:hint="eastAsia"/>
          <w:sz w:val="30"/>
        </w:rPr>
        <w:t xml:space="preserve">             </w:t>
      </w:r>
      <w:r>
        <w:rPr>
          <w:rFonts w:hint="eastAsia"/>
          <w:sz w:val="30"/>
        </w:rPr>
        <w:t>报</w:t>
      </w:r>
    </w:p>
    <w:p w:rsidR="009B39DB" w:rsidRDefault="009B39DB" w:rsidP="009B39DB">
      <w:bookmarkStart w:id="0" w:name="_GoBack"/>
      <w:bookmarkEnd w:id="0"/>
    </w:p>
    <w:p w:rsidR="009B39DB" w:rsidRDefault="009B39DB" w:rsidP="009B39DB">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9B39DB" w:rsidRDefault="009B39DB" w:rsidP="009B39DB">
      <w:pPr>
        <w:jc w:val="center"/>
      </w:pPr>
    </w:p>
    <w:tbl>
      <w:tblPr>
        <w:tblW w:w="8342"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66"/>
        <w:gridCol w:w="1570"/>
        <w:gridCol w:w="6099"/>
        <w:gridCol w:w="7"/>
      </w:tblGrid>
      <w:tr w:rsidR="009B39DB" w:rsidRPr="009B39DB" w:rsidTr="009B39DB">
        <w:trPr>
          <w:gridAfter w:val="1"/>
          <w:wAfter w:w="7" w:type="dxa"/>
          <w:cantSplit/>
          <w:jc w:val="center"/>
        </w:trPr>
        <w:tc>
          <w:tcPr>
            <w:tcW w:w="666" w:type="dxa"/>
            <w:tcBorders>
              <w:top w:val="doub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1.</w:t>
            </w:r>
          </w:p>
        </w:tc>
        <w:tc>
          <w:tcPr>
            <w:tcW w:w="7669" w:type="dxa"/>
            <w:gridSpan w:val="2"/>
            <w:tcBorders>
              <w:top w:val="doub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rFonts w:hint="eastAsia"/>
                <w:color w:val="000000" w:themeColor="text1"/>
                <w:u w:val="single"/>
              </w:rPr>
            </w:pPr>
            <w:r w:rsidRPr="009B39DB">
              <w:rPr>
                <w:rFonts w:hint="eastAsia"/>
                <w:b/>
                <w:color w:val="000000" w:themeColor="text1"/>
              </w:rPr>
              <w:t>通报成员：</w:t>
            </w:r>
            <w:r w:rsidRPr="009B39DB">
              <w:rPr>
                <w:rFonts w:hint="eastAsia"/>
                <w:color w:val="000000" w:themeColor="text1"/>
                <w:u w:val="single"/>
              </w:rPr>
              <w:t>欧盟</w:t>
            </w:r>
          </w:p>
          <w:p w:rsidR="009B39DB" w:rsidRPr="009B39DB" w:rsidRDefault="009B39DB" w:rsidP="009B39DB">
            <w:pPr>
              <w:adjustRightInd w:val="0"/>
              <w:snapToGrid w:val="0"/>
              <w:spacing w:line="276" w:lineRule="auto"/>
              <w:rPr>
                <w:color w:val="000000" w:themeColor="text1"/>
              </w:rPr>
            </w:pPr>
            <w:r w:rsidRPr="009B39DB">
              <w:rPr>
                <w:rFonts w:hint="eastAsia"/>
                <w:b/>
                <w:color w:val="000000" w:themeColor="text1"/>
              </w:rPr>
              <w:t>如可能，列出涉及的地方政府名称</w:t>
            </w:r>
            <w:r w:rsidRPr="009B39DB">
              <w:rPr>
                <w:b/>
                <w:color w:val="000000" w:themeColor="text1"/>
              </w:rPr>
              <w:t xml:space="preserve"> ( 3.2</w:t>
            </w:r>
            <w:r w:rsidRPr="009B39DB">
              <w:rPr>
                <w:rFonts w:hint="eastAsia"/>
                <w:b/>
                <w:color w:val="000000" w:themeColor="text1"/>
              </w:rPr>
              <w:t>条和</w:t>
            </w:r>
            <w:r w:rsidRPr="009B39DB">
              <w:rPr>
                <w:b/>
                <w:color w:val="000000" w:themeColor="text1"/>
              </w:rPr>
              <w:t>7.2</w:t>
            </w:r>
            <w:r w:rsidRPr="009B39DB">
              <w:rPr>
                <w:rFonts w:hint="eastAsia"/>
                <w:b/>
                <w:color w:val="000000" w:themeColor="text1"/>
              </w:rPr>
              <w:t xml:space="preserve"> </w:t>
            </w:r>
            <w:r w:rsidRPr="009B39DB">
              <w:rPr>
                <w:rFonts w:hint="eastAsia"/>
                <w:b/>
                <w:color w:val="000000" w:themeColor="text1"/>
              </w:rPr>
              <w:t>条</w:t>
            </w:r>
            <w:r w:rsidRPr="009B39DB">
              <w:rPr>
                <w:rFonts w:hint="eastAsia"/>
                <w:b/>
                <w:color w:val="000000" w:themeColor="text1"/>
              </w:rPr>
              <w:t>)</w:t>
            </w:r>
            <w:r w:rsidRPr="009B39DB">
              <w:rPr>
                <w:rFonts w:hint="eastAsia"/>
                <w:b/>
                <w:color w:val="000000" w:themeColor="text1"/>
              </w:rPr>
              <w:t>：</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2.</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pStyle w:val="a5"/>
              <w:adjustRightInd w:val="0"/>
              <w:snapToGrid w:val="0"/>
              <w:spacing w:line="276" w:lineRule="auto"/>
              <w:rPr>
                <w:rFonts w:hint="eastAsia"/>
                <w:color w:val="000000" w:themeColor="text1"/>
              </w:rPr>
            </w:pPr>
            <w:r w:rsidRPr="009B39DB">
              <w:rPr>
                <w:rFonts w:hint="eastAsia"/>
                <w:color w:val="000000" w:themeColor="text1"/>
              </w:rPr>
              <w:t>负责机构：</w:t>
            </w:r>
            <w:r w:rsidRPr="009B39DB">
              <w:rPr>
                <w:rFonts w:hint="eastAsia"/>
                <w:b w:val="0"/>
                <w:color w:val="000000" w:themeColor="text1"/>
              </w:rPr>
              <w:t>欧盟委员会</w:t>
            </w:r>
            <w:r w:rsidRPr="009B39DB">
              <w:rPr>
                <w:b w:val="0"/>
                <w:color w:val="000000" w:themeColor="text1"/>
              </w:rPr>
              <w:t xml:space="preserve"> </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3.</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color w:val="000000" w:themeColor="text1"/>
              </w:rPr>
            </w:pPr>
            <w:r w:rsidRPr="009B39DB">
              <w:rPr>
                <w:rFonts w:hint="eastAsia"/>
                <w:b/>
                <w:color w:val="000000" w:themeColor="text1"/>
              </w:rPr>
              <w:t>通报依据的条款</w:t>
            </w:r>
            <w:r w:rsidRPr="009B39DB">
              <w:rPr>
                <w:b/>
                <w:color w:val="000000" w:themeColor="text1"/>
              </w:rPr>
              <w:t xml:space="preserve"> 2.9.2 [X</w:t>
            </w:r>
            <w:r w:rsidRPr="009B39DB">
              <w:rPr>
                <w:rFonts w:hint="eastAsia"/>
                <w:b/>
                <w:color w:val="000000" w:themeColor="text1"/>
              </w:rPr>
              <w:t xml:space="preserve"> </w:t>
            </w:r>
            <w:r w:rsidRPr="009B39DB">
              <w:rPr>
                <w:b/>
                <w:color w:val="000000" w:themeColor="text1"/>
              </w:rPr>
              <w:t>], 2.10.1 [ </w:t>
            </w:r>
            <w:r w:rsidRPr="009B39DB">
              <w:rPr>
                <w:color w:val="000000" w:themeColor="text1"/>
              </w:rPr>
              <w:fldChar w:fldCharType="begin">
                <w:ffData>
                  <w:name w:val="Text12"/>
                  <w:enabled/>
                  <w:calcOnExit w:val="0"/>
                  <w:textInput>
                    <w:maxLength w:val="1"/>
                  </w:textInput>
                </w:ffData>
              </w:fldChar>
            </w:r>
            <w:r w:rsidRPr="009B39DB">
              <w:rPr>
                <w:color w:val="000000" w:themeColor="text1"/>
              </w:rPr>
              <w:instrText xml:space="preserve"> FORMTEXT </w:instrText>
            </w:r>
            <w:r w:rsidRPr="009B39DB">
              <w:rPr>
                <w:color w:val="000000" w:themeColor="text1"/>
              </w:rPr>
            </w:r>
            <w:r w:rsidRPr="009B39DB">
              <w:rPr>
                <w:color w:val="000000" w:themeColor="text1"/>
              </w:rPr>
              <w:fldChar w:fldCharType="separate"/>
            </w:r>
            <w:r w:rsidRPr="009B39DB">
              <w:rPr>
                <w:color w:val="000000" w:themeColor="text1"/>
                <w:lang w:val="en-US" w:eastAsia="zh-CN"/>
              </w:rPr>
              <w:t> </w:t>
            </w:r>
            <w:r w:rsidRPr="009B39DB">
              <w:rPr>
                <w:color w:val="000000" w:themeColor="text1"/>
              </w:rPr>
              <w:fldChar w:fldCharType="end"/>
            </w:r>
            <w:r w:rsidRPr="009B39DB">
              <w:rPr>
                <w:b/>
                <w:color w:val="000000" w:themeColor="text1"/>
              </w:rPr>
              <w:t>], 5.6.2 [</w:t>
            </w:r>
            <w:r w:rsidRPr="009B39DB">
              <w:rPr>
                <w:rFonts w:hint="eastAsia"/>
                <w:b/>
                <w:color w:val="000000" w:themeColor="text1"/>
              </w:rPr>
              <w:t xml:space="preserve"> </w:t>
            </w:r>
            <w:r w:rsidRPr="009B39DB">
              <w:rPr>
                <w:rFonts w:hint="eastAsia"/>
                <w:color w:val="000000" w:themeColor="text1"/>
              </w:rPr>
              <w:t xml:space="preserve"> </w:t>
            </w:r>
            <w:r w:rsidRPr="009B39DB">
              <w:rPr>
                <w:b/>
                <w:color w:val="000000" w:themeColor="text1"/>
              </w:rPr>
              <w:t>], 5.7.1 [ </w:t>
            </w:r>
            <w:r w:rsidRPr="009B39DB">
              <w:rPr>
                <w:color w:val="000000" w:themeColor="text1"/>
              </w:rPr>
              <w:fldChar w:fldCharType="begin">
                <w:ffData>
                  <w:name w:val="Text12"/>
                  <w:enabled/>
                  <w:calcOnExit w:val="0"/>
                  <w:textInput>
                    <w:maxLength w:val="1"/>
                  </w:textInput>
                </w:ffData>
              </w:fldChar>
            </w:r>
            <w:r w:rsidRPr="009B39DB">
              <w:rPr>
                <w:color w:val="000000" w:themeColor="text1"/>
              </w:rPr>
              <w:instrText xml:space="preserve"> FORMTEXT </w:instrText>
            </w:r>
            <w:r w:rsidRPr="009B39DB">
              <w:rPr>
                <w:color w:val="000000" w:themeColor="text1"/>
              </w:rPr>
            </w:r>
            <w:r w:rsidRPr="009B39DB">
              <w:rPr>
                <w:color w:val="000000" w:themeColor="text1"/>
              </w:rPr>
              <w:fldChar w:fldCharType="separate"/>
            </w:r>
            <w:r w:rsidRPr="009B39DB">
              <w:rPr>
                <w:color w:val="000000" w:themeColor="text1"/>
                <w:lang w:val="en-US" w:eastAsia="zh-CN"/>
              </w:rPr>
              <w:t> </w:t>
            </w:r>
            <w:r w:rsidRPr="009B39DB">
              <w:rPr>
                <w:color w:val="000000" w:themeColor="text1"/>
              </w:rPr>
              <w:fldChar w:fldCharType="end"/>
            </w:r>
            <w:r w:rsidRPr="009B39DB">
              <w:rPr>
                <w:b/>
                <w:color w:val="000000" w:themeColor="text1"/>
              </w:rPr>
              <w:t xml:space="preserve">], </w:t>
            </w:r>
            <w:r w:rsidRPr="009B39DB">
              <w:rPr>
                <w:rFonts w:hint="eastAsia"/>
                <w:b/>
                <w:color w:val="000000" w:themeColor="text1"/>
              </w:rPr>
              <w:t>其他</w:t>
            </w:r>
            <w:r w:rsidRPr="009B39DB">
              <w:rPr>
                <w:b/>
                <w:color w:val="000000" w:themeColor="text1"/>
              </w:rPr>
              <w:t>:</w:t>
            </w:r>
            <w:r w:rsidRPr="009B39DB">
              <w:rPr>
                <w:color w:val="000000" w:themeColor="text1"/>
              </w:rPr>
              <w:t xml:space="preserve">  </w:t>
            </w:r>
            <w:r w:rsidRPr="009B39DB">
              <w:rPr>
                <w:color w:val="000000" w:themeColor="text1"/>
              </w:rPr>
              <w:fldChar w:fldCharType="begin">
                <w:ffData>
                  <w:name w:val="Text3"/>
                  <w:enabled/>
                  <w:calcOnExit w:val="0"/>
                  <w:textInput/>
                </w:ffData>
              </w:fldChar>
            </w:r>
            <w:r w:rsidRPr="009B39DB">
              <w:rPr>
                <w:color w:val="000000" w:themeColor="text1"/>
              </w:rPr>
              <w:instrText xml:space="preserve"> FORMTEXT </w:instrText>
            </w:r>
            <w:r w:rsidRPr="009B39DB">
              <w:rPr>
                <w:color w:val="000000" w:themeColor="text1"/>
              </w:rPr>
            </w:r>
            <w:r w:rsidRPr="009B39DB">
              <w:rPr>
                <w:color w:val="000000" w:themeColor="text1"/>
              </w:rPr>
              <w:fldChar w:fldCharType="separate"/>
            </w:r>
            <w:r w:rsidRPr="009B39DB">
              <w:rPr>
                <w:color w:val="000000" w:themeColor="text1"/>
                <w:lang w:val="en-US" w:eastAsia="zh-CN"/>
              </w:rPr>
              <w:t>     </w:t>
            </w:r>
            <w:r w:rsidRPr="009B39DB">
              <w:rPr>
                <w:color w:val="000000" w:themeColor="text1"/>
              </w:rPr>
              <w:fldChar w:fldCharType="end"/>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4.</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jc w:val="left"/>
              <w:rPr>
                <w:rFonts w:hint="eastAsia"/>
                <w:color w:val="000000" w:themeColor="text1"/>
              </w:rPr>
            </w:pPr>
            <w:r w:rsidRPr="009B39DB">
              <w:rPr>
                <w:rFonts w:hint="eastAsia"/>
                <w:b/>
                <w:color w:val="000000" w:themeColor="text1"/>
              </w:rPr>
              <w:t>覆盖的产品</w:t>
            </w:r>
            <w:r w:rsidRPr="009B39DB">
              <w:rPr>
                <w:b/>
                <w:color w:val="000000" w:themeColor="text1"/>
              </w:rPr>
              <w:t xml:space="preserve"> (</w:t>
            </w:r>
            <w:r w:rsidRPr="009B39DB">
              <w:rPr>
                <w:rFonts w:hint="eastAsia"/>
                <w:b/>
                <w:color w:val="000000" w:themeColor="text1"/>
              </w:rPr>
              <w:t xml:space="preserve"> </w:t>
            </w:r>
            <w:r w:rsidRPr="009B39DB">
              <w:rPr>
                <w:rFonts w:hint="eastAsia"/>
                <w:b/>
                <w:color w:val="000000" w:themeColor="text1"/>
              </w:rPr>
              <w:t>如可能，提供产品的</w:t>
            </w:r>
            <w:r w:rsidRPr="009B39DB">
              <w:rPr>
                <w:b/>
                <w:color w:val="000000" w:themeColor="text1"/>
              </w:rPr>
              <w:t xml:space="preserve">HS </w:t>
            </w:r>
            <w:r w:rsidRPr="009B39DB">
              <w:rPr>
                <w:rFonts w:hint="eastAsia"/>
                <w:b/>
                <w:color w:val="000000" w:themeColor="text1"/>
              </w:rPr>
              <w:t>或</w:t>
            </w:r>
            <w:r w:rsidRPr="009B39DB">
              <w:rPr>
                <w:b/>
                <w:color w:val="000000" w:themeColor="text1"/>
              </w:rPr>
              <w:t xml:space="preserve"> CCCN</w:t>
            </w:r>
            <w:r w:rsidRPr="009B39DB">
              <w:rPr>
                <w:rFonts w:hint="eastAsia"/>
                <w:b/>
                <w:color w:val="000000" w:themeColor="text1"/>
              </w:rPr>
              <w:t>编码</w:t>
            </w:r>
            <w:r w:rsidRPr="009B39DB">
              <w:rPr>
                <w:b/>
                <w:color w:val="000000" w:themeColor="text1"/>
              </w:rPr>
              <w:t xml:space="preserve">, </w:t>
            </w:r>
            <w:r w:rsidRPr="009B39DB">
              <w:rPr>
                <w:rFonts w:hint="eastAsia"/>
                <w:b/>
                <w:color w:val="000000" w:themeColor="text1"/>
              </w:rPr>
              <w:t>否则提供国家减让表中所列关税税目号。如可能，可另提供国际标准分类</w:t>
            </w:r>
            <w:r w:rsidRPr="009B39DB">
              <w:rPr>
                <w:b/>
                <w:color w:val="000000" w:themeColor="text1"/>
              </w:rPr>
              <w:t>ICS</w:t>
            </w:r>
            <w:r w:rsidRPr="009B39DB">
              <w:rPr>
                <w:rFonts w:hint="eastAsia"/>
                <w:b/>
                <w:color w:val="000000" w:themeColor="text1"/>
              </w:rPr>
              <w:t>号</w:t>
            </w:r>
            <w:r w:rsidRPr="009B39DB">
              <w:rPr>
                <w:rFonts w:hint="eastAsia"/>
                <w:b/>
                <w:color w:val="000000" w:themeColor="text1"/>
              </w:rPr>
              <w:t>)</w:t>
            </w:r>
            <w:r w:rsidRPr="009B39DB">
              <w:rPr>
                <w:b/>
                <w:color w:val="000000" w:themeColor="text1"/>
              </w:rPr>
              <w:t>:</w:t>
            </w:r>
            <w:r w:rsidRPr="009B39DB">
              <w:rPr>
                <w:rFonts w:hint="eastAsia"/>
                <w:color w:val="000000" w:themeColor="text1"/>
              </w:rPr>
              <w:t xml:space="preserve"> </w:t>
            </w:r>
            <w:r w:rsidRPr="009B39DB">
              <w:rPr>
                <w:rFonts w:hint="eastAsia"/>
                <w:color w:val="000000" w:themeColor="text1"/>
              </w:rPr>
              <w:t>作为化学物质自身及其它化学物质、混合物、商品或商品一部分的替代物、浓度大于</w:t>
            </w:r>
            <w:r w:rsidRPr="009B39DB">
              <w:rPr>
                <w:bCs/>
                <w:color w:val="000000" w:themeColor="text1"/>
                <w:spacing w:val="-2"/>
              </w:rPr>
              <w:t>0.1%</w:t>
            </w:r>
            <w:r w:rsidRPr="009B39DB">
              <w:rPr>
                <w:rFonts w:hint="eastAsia"/>
                <w:bCs/>
                <w:color w:val="000000" w:themeColor="text1"/>
                <w:spacing w:val="-2"/>
              </w:rPr>
              <w:t>的</w:t>
            </w:r>
            <w:r w:rsidRPr="009B39DB">
              <w:rPr>
                <w:rFonts w:hint="eastAsia"/>
                <w:color w:val="000000" w:themeColor="text1"/>
              </w:rPr>
              <w:t>十溴二苯醚</w:t>
            </w:r>
            <w:r w:rsidRPr="009B39DB">
              <w:rPr>
                <w:rFonts w:hint="eastAsia"/>
                <w:bCs/>
                <w:color w:val="000000" w:themeColor="text1"/>
                <w:spacing w:val="-2"/>
              </w:rPr>
              <w:t>。</w:t>
            </w:r>
          </w:p>
          <w:p w:rsidR="009B39DB" w:rsidRPr="009B39DB" w:rsidRDefault="009B39DB" w:rsidP="009B39DB">
            <w:pPr>
              <w:adjustRightInd w:val="0"/>
              <w:snapToGrid w:val="0"/>
              <w:spacing w:line="276" w:lineRule="auto"/>
              <w:jc w:val="left"/>
              <w:rPr>
                <w:rFonts w:hint="eastAsia"/>
                <w:color w:val="000000" w:themeColor="text1"/>
              </w:rPr>
            </w:pPr>
            <w:r w:rsidRPr="009B39DB">
              <w:rPr>
                <w:rFonts w:ascii="CG Times" w:hAnsi="CG Times"/>
                <w:b/>
                <w:color w:val="000000" w:themeColor="text1"/>
              </w:rPr>
              <w:t>ICS:</w:t>
            </w:r>
            <w:r w:rsidRPr="009B39DB">
              <w:rPr>
                <w:rFonts w:ascii="CG Times" w:hAnsi="CG Times"/>
                <w:color w:val="000000" w:themeColor="text1"/>
              </w:rPr>
              <w:t xml:space="preserve">     </w:t>
            </w:r>
            <w:r w:rsidRPr="009B39DB">
              <w:rPr>
                <w:rFonts w:ascii="CG Times" w:hAnsi="CG Times"/>
                <w:color w:val="000000" w:themeColor="text1"/>
              </w:rPr>
              <w:tab/>
            </w:r>
            <w:r w:rsidRPr="009B39DB">
              <w:rPr>
                <w:rFonts w:ascii="CG Times" w:hAnsi="CG Times"/>
                <w:color w:val="000000" w:themeColor="text1"/>
              </w:rPr>
              <w:tab/>
            </w:r>
            <w:r w:rsidRPr="009B39DB">
              <w:rPr>
                <w:rFonts w:ascii="CG Times" w:hAnsi="CG Times"/>
                <w:color w:val="000000" w:themeColor="text1"/>
              </w:rPr>
              <w:tab/>
            </w:r>
            <w:r w:rsidRPr="009B39DB">
              <w:rPr>
                <w:rFonts w:ascii="CG Times" w:hAnsi="CG Times"/>
                <w:color w:val="000000" w:themeColor="text1"/>
              </w:rPr>
              <w:tab/>
            </w:r>
            <w:r w:rsidRPr="009B39DB">
              <w:rPr>
                <w:rFonts w:ascii="CG Times" w:hAnsi="CG Times" w:hint="eastAsia"/>
                <w:color w:val="000000" w:themeColor="text1"/>
              </w:rPr>
              <w:t xml:space="preserve">          </w:t>
            </w:r>
            <w:r w:rsidRPr="009B39DB">
              <w:rPr>
                <w:rFonts w:ascii="CG Times" w:hAnsi="CG Times"/>
                <w:b/>
                <w:color w:val="000000" w:themeColor="text1"/>
              </w:rPr>
              <w:t>HS:</w:t>
            </w:r>
            <w:r w:rsidRPr="009B39DB">
              <w:rPr>
                <w:rFonts w:ascii="CG Times" w:hAnsi="CG Times"/>
                <w:color w:val="000000" w:themeColor="text1"/>
              </w:rPr>
              <w:t xml:space="preserve"> </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5.</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rFonts w:hint="eastAsia"/>
                <w:b/>
                <w:color w:val="000000" w:themeColor="text1"/>
              </w:rPr>
            </w:pPr>
            <w:r w:rsidRPr="009B39DB">
              <w:rPr>
                <w:rFonts w:hint="eastAsia"/>
                <w:b/>
                <w:color w:val="000000" w:themeColor="text1"/>
              </w:rPr>
              <w:t>通报文件的标题</w:t>
            </w:r>
            <w:r w:rsidRPr="009B39DB">
              <w:rPr>
                <w:b/>
                <w:color w:val="000000" w:themeColor="text1"/>
              </w:rPr>
              <w:t xml:space="preserve">, </w:t>
            </w:r>
            <w:r w:rsidRPr="009B39DB">
              <w:rPr>
                <w:rFonts w:hint="eastAsia"/>
                <w:b/>
                <w:color w:val="000000" w:themeColor="text1"/>
              </w:rPr>
              <w:t>页数和使用语言</w:t>
            </w:r>
            <w:r w:rsidRPr="009B39DB">
              <w:rPr>
                <w:b/>
                <w:color w:val="000000" w:themeColor="text1"/>
              </w:rPr>
              <w:t>:</w:t>
            </w:r>
            <w:r w:rsidRPr="009B39DB">
              <w:rPr>
                <w:rFonts w:hint="eastAsia"/>
                <w:color w:val="000000" w:themeColor="text1"/>
              </w:rPr>
              <w:t xml:space="preserve"> </w:t>
            </w:r>
            <w:r w:rsidRPr="009B39DB">
              <w:rPr>
                <w:rFonts w:hint="eastAsia"/>
                <w:color w:val="000000" w:themeColor="text1"/>
              </w:rPr>
              <w:t>欧盟委员会法规草案，修订欧洲议会和理事会关于化学品注册、评估、授权和限制的法规</w:t>
            </w:r>
            <w:r w:rsidRPr="009B39DB">
              <w:rPr>
                <w:color w:val="000000" w:themeColor="text1"/>
                <w:spacing w:val="-2"/>
              </w:rPr>
              <w:t xml:space="preserve"> (EC) No 1907/2006</w:t>
            </w:r>
            <w:r w:rsidRPr="009B39DB">
              <w:rPr>
                <w:rFonts w:hint="eastAsia"/>
                <w:color w:val="000000" w:themeColor="text1"/>
              </w:rPr>
              <w:t>（</w:t>
            </w:r>
            <w:r w:rsidRPr="009B39DB">
              <w:rPr>
                <w:color w:val="000000" w:themeColor="text1"/>
              </w:rPr>
              <w:t>REACH</w:t>
            </w:r>
            <w:r w:rsidRPr="009B39DB">
              <w:rPr>
                <w:rFonts w:hint="eastAsia"/>
                <w:color w:val="000000" w:themeColor="text1"/>
              </w:rPr>
              <w:t>）</w:t>
            </w:r>
            <w:r w:rsidRPr="009B39DB">
              <w:rPr>
                <w:rFonts w:hint="eastAsia"/>
                <w:color w:val="000000" w:themeColor="text1"/>
                <w:spacing w:val="-2"/>
              </w:rPr>
              <w:t>附录</w:t>
            </w:r>
            <w:r w:rsidRPr="009B39DB">
              <w:rPr>
                <w:color w:val="000000" w:themeColor="text1"/>
                <w:spacing w:val="-2"/>
              </w:rPr>
              <w:t>XVII</w:t>
            </w:r>
            <w:r w:rsidRPr="009B39DB">
              <w:rPr>
                <w:rFonts w:hint="eastAsia"/>
                <w:color w:val="000000" w:themeColor="text1"/>
              </w:rPr>
              <w:t>十溴二苯醚（</w:t>
            </w:r>
            <w:r w:rsidRPr="009B39DB">
              <w:rPr>
                <w:rFonts w:hint="eastAsia"/>
                <w:color w:val="000000" w:themeColor="text1"/>
              </w:rPr>
              <w:t>5</w:t>
            </w:r>
            <w:r w:rsidRPr="009B39DB">
              <w:rPr>
                <w:rFonts w:hint="eastAsia"/>
                <w:color w:val="000000" w:themeColor="text1"/>
              </w:rPr>
              <w:t>页</w:t>
            </w:r>
            <w:r w:rsidRPr="009B39DB">
              <w:rPr>
                <w:rFonts w:hint="eastAsia"/>
                <w:color w:val="000000" w:themeColor="text1"/>
              </w:rPr>
              <w:t>+2</w:t>
            </w:r>
            <w:r w:rsidRPr="009B39DB">
              <w:rPr>
                <w:rFonts w:hint="eastAsia"/>
                <w:color w:val="000000" w:themeColor="text1"/>
              </w:rPr>
              <w:t>页附录，英语）</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6.</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ind w:left="110"/>
              <w:rPr>
                <w:rFonts w:hint="eastAsia"/>
                <w:color w:val="000000" w:themeColor="text1"/>
                <w:spacing w:val="-2"/>
              </w:rPr>
            </w:pPr>
            <w:r w:rsidRPr="009B39DB">
              <w:rPr>
                <w:rFonts w:hint="eastAsia"/>
                <w:b/>
                <w:color w:val="000000" w:themeColor="text1"/>
              </w:rPr>
              <w:t>内容简述</w:t>
            </w:r>
            <w:r w:rsidRPr="009B39DB">
              <w:rPr>
                <w:b/>
                <w:color w:val="000000" w:themeColor="text1"/>
              </w:rPr>
              <w:t>:</w:t>
            </w:r>
            <w:r w:rsidRPr="009B39DB">
              <w:rPr>
                <w:rFonts w:hint="eastAsia"/>
                <w:b/>
                <w:color w:val="000000" w:themeColor="text1"/>
              </w:rPr>
              <w:t xml:space="preserve"> </w:t>
            </w:r>
            <w:r w:rsidRPr="009B39DB">
              <w:rPr>
                <w:rFonts w:hint="eastAsia"/>
                <w:color w:val="000000" w:themeColor="text1"/>
              </w:rPr>
              <w:t>通报的草案涉及法规</w:t>
            </w:r>
            <w:r w:rsidRPr="009B39DB">
              <w:rPr>
                <w:color w:val="000000" w:themeColor="text1"/>
                <w:spacing w:val="-2"/>
              </w:rPr>
              <w:t xml:space="preserve"> (EC) No 1907/2006</w:t>
            </w:r>
            <w:r w:rsidRPr="009B39DB">
              <w:rPr>
                <w:rFonts w:hint="eastAsia"/>
                <w:color w:val="000000" w:themeColor="text1"/>
                <w:spacing w:val="-2"/>
              </w:rPr>
              <w:t>附录</w:t>
            </w:r>
            <w:r w:rsidRPr="009B39DB">
              <w:rPr>
                <w:color w:val="000000" w:themeColor="text1"/>
                <w:spacing w:val="-2"/>
              </w:rPr>
              <w:t>XVII</w:t>
            </w:r>
            <w:r w:rsidRPr="009B39DB">
              <w:rPr>
                <w:rFonts w:hint="eastAsia"/>
                <w:color w:val="000000" w:themeColor="text1"/>
                <w:spacing w:val="-2"/>
              </w:rPr>
              <w:t>的新条目。</w:t>
            </w:r>
          </w:p>
          <w:p w:rsidR="009B39DB" w:rsidRPr="009B39DB" w:rsidRDefault="009B39DB" w:rsidP="009B39DB">
            <w:pPr>
              <w:adjustRightInd w:val="0"/>
              <w:snapToGrid w:val="0"/>
              <w:spacing w:line="276" w:lineRule="auto"/>
              <w:ind w:left="108"/>
              <w:rPr>
                <w:rFonts w:hint="eastAsia"/>
                <w:color w:val="000000" w:themeColor="text1"/>
              </w:rPr>
            </w:pPr>
            <w:r w:rsidRPr="009B39DB">
              <w:rPr>
                <w:rFonts w:hint="eastAsia"/>
                <w:color w:val="000000" w:themeColor="text1"/>
                <w:spacing w:val="-2"/>
              </w:rPr>
              <w:t>旨在限制</w:t>
            </w:r>
            <w:r w:rsidRPr="009B39DB">
              <w:rPr>
                <w:rFonts w:hint="eastAsia"/>
                <w:color w:val="000000" w:themeColor="text1"/>
              </w:rPr>
              <w:t>作为化学物质自身的十溴二苯醚的生产和上市及作为其它化学物质、混合物、商品或商品一部分的替代物、浓度大于</w:t>
            </w:r>
            <w:r w:rsidRPr="009B39DB">
              <w:rPr>
                <w:bCs/>
                <w:color w:val="000000" w:themeColor="text1"/>
                <w:spacing w:val="-2"/>
              </w:rPr>
              <w:t>0.1%</w:t>
            </w:r>
            <w:r w:rsidRPr="009B39DB">
              <w:rPr>
                <w:rFonts w:hint="eastAsia"/>
                <w:bCs/>
                <w:color w:val="000000" w:themeColor="text1"/>
                <w:spacing w:val="-2"/>
              </w:rPr>
              <w:t>的</w:t>
            </w:r>
            <w:r w:rsidRPr="009B39DB">
              <w:rPr>
                <w:rFonts w:hint="eastAsia"/>
                <w:color w:val="000000" w:themeColor="text1"/>
              </w:rPr>
              <w:t>十溴二苯醚的使用和上市。</w:t>
            </w:r>
          </w:p>
          <w:p w:rsidR="009B39DB" w:rsidRPr="009B39DB" w:rsidRDefault="009B39DB" w:rsidP="009B39DB">
            <w:pPr>
              <w:adjustRightInd w:val="0"/>
              <w:snapToGrid w:val="0"/>
              <w:spacing w:line="276" w:lineRule="auto"/>
              <w:ind w:left="108"/>
              <w:jc w:val="left"/>
              <w:rPr>
                <w:rFonts w:hint="eastAsia"/>
                <w:color w:val="000000" w:themeColor="text1"/>
                <w:spacing w:val="-2"/>
              </w:rPr>
            </w:pPr>
            <w:r w:rsidRPr="009B39DB">
              <w:rPr>
                <w:rFonts w:hint="eastAsia"/>
                <w:color w:val="000000" w:themeColor="text1"/>
                <w:spacing w:val="-2"/>
              </w:rPr>
              <w:t>对于航空器的生产和上市，指令</w:t>
            </w:r>
            <w:r w:rsidRPr="009B39DB">
              <w:rPr>
                <w:color w:val="000000" w:themeColor="text1"/>
              </w:rPr>
              <w:t>2007/46/EC</w:t>
            </w:r>
            <w:r w:rsidRPr="009B39DB">
              <w:rPr>
                <w:rFonts w:hint="eastAsia"/>
                <w:color w:val="000000" w:themeColor="text1"/>
              </w:rPr>
              <w:t>范围内</w:t>
            </w:r>
            <w:r w:rsidRPr="009B39DB">
              <w:rPr>
                <w:rFonts w:hint="eastAsia"/>
                <w:color w:val="000000" w:themeColor="text1"/>
                <w:spacing w:val="-2"/>
              </w:rPr>
              <w:t>的航空器备件、车辆的生产和上市，法规</w:t>
            </w:r>
            <w:r w:rsidRPr="009B39DB">
              <w:rPr>
                <w:color w:val="000000" w:themeColor="text1"/>
              </w:rPr>
              <w:t>(EU) No 167/2013</w:t>
            </w:r>
            <w:r w:rsidRPr="009B39DB">
              <w:rPr>
                <w:rFonts w:hint="eastAsia"/>
                <w:color w:val="000000" w:themeColor="text1"/>
              </w:rPr>
              <w:t>范围内的农林车辆</w:t>
            </w:r>
            <w:r w:rsidRPr="009B39DB">
              <w:rPr>
                <w:rFonts w:hint="eastAsia"/>
                <w:color w:val="000000" w:themeColor="text1"/>
                <w:spacing w:val="-2"/>
              </w:rPr>
              <w:t>，指令</w:t>
            </w:r>
            <w:r w:rsidRPr="009B39DB">
              <w:rPr>
                <w:color w:val="000000" w:themeColor="text1"/>
              </w:rPr>
              <w:t>2006/42/EC</w:t>
            </w:r>
            <w:r w:rsidRPr="009B39DB">
              <w:rPr>
                <w:rFonts w:hint="eastAsia"/>
                <w:color w:val="000000" w:themeColor="text1"/>
              </w:rPr>
              <w:t>范围内的机械</w:t>
            </w:r>
            <w:r w:rsidRPr="009B39DB">
              <w:rPr>
                <w:rFonts w:hint="eastAsia"/>
                <w:color w:val="000000" w:themeColor="text1"/>
                <w:spacing w:val="-2"/>
              </w:rPr>
              <w:t>，法规实施之前首次上市的商品，及指令</w:t>
            </w:r>
            <w:r w:rsidRPr="009B39DB">
              <w:rPr>
                <w:color w:val="000000" w:themeColor="text1"/>
              </w:rPr>
              <w:t>2011/65/EC</w:t>
            </w:r>
            <w:r w:rsidRPr="009B39DB">
              <w:rPr>
                <w:rFonts w:hint="eastAsia"/>
                <w:color w:val="000000" w:themeColor="text1"/>
              </w:rPr>
              <w:t>范围内</w:t>
            </w:r>
            <w:r w:rsidRPr="009B39DB">
              <w:rPr>
                <w:rFonts w:hint="eastAsia"/>
                <w:color w:val="000000" w:themeColor="text1"/>
                <w:spacing w:val="-2"/>
              </w:rPr>
              <w:t>的电气电子设备免除限制。</w:t>
            </w:r>
          </w:p>
          <w:p w:rsidR="009B39DB" w:rsidRPr="009B39DB" w:rsidRDefault="009B39DB" w:rsidP="009B39DB">
            <w:pPr>
              <w:adjustRightInd w:val="0"/>
              <w:snapToGrid w:val="0"/>
              <w:spacing w:line="276" w:lineRule="auto"/>
              <w:ind w:left="110"/>
              <w:jc w:val="left"/>
              <w:rPr>
                <w:rFonts w:hint="eastAsia"/>
                <w:color w:val="000000" w:themeColor="text1"/>
                <w:spacing w:val="-2"/>
                <w:szCs w:val="22"/>
              </w:rPr>
            </w:pPr>
            <w:r w:rsidRPr="009B39DB">
              <w:rPr>
                <w:rFonts w:hint="eastAsia"/>
                <w:color w:val="000000" w:themeColor="text1"/>
              </w:rPr>
              <w:t>限制的实施推迟</w:t>
            </w:r>
            <w:r w:rsidRPr="009B39DB">
              <w:rPr>
                <w:color w:val="000000" w:themeColor="text1"/>
              </w:rPr>
              <w:t>18</w:t>
            </w:r>
            <w:r w:rsidRPr="009B39DB">
              <w:rPr>
                <w:rFonts w:hint="eastAsia"/>
                <w:color w:val="000000" w:themeColor="text1"/>
              </w:rPr>
              <w:t>个月，使企业有充足的时间适应并符合要求。</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7.</w:t>
            </w:r>
          </w:p>
        </w:tc>
        <w:tc>
          <w:tcPr>
            <w:tcW w:w="7669" w:type="dxa"/>
            <w:gridSpan w:val="2"/>
            <w:tcBorders>
              <w:top w:val="single" w:sz="4" w:space="0" w:color="auto"/>
              <w:bottom w:val="single" w:sz="4" w:space="0" w:color="auto"/>
            </w:tcBorders>
            <w:tcMar>
              <w:top w:w="57" w:type="dxa"/>
              <w:bottom w:w="57" w:type="dxa"/>
            </w:tcMar>
          </w:tcPr>
          <w:p w:rsidR="009B39DB" w:rsidRDefault="009B39DB" w:rsidP="009B39DB">
            <w:pPr>
              <w:adjustRightInd w:val="0"/>
              <w:snapToGrid w:val="0"/>
              <w:spacing w:line="276" w:lineRule="auto"/>
              <w:ind w:left="110" w:hangingChars="50" w:hanging="110"/>
              <w:rPr>
                <w:rFonts w:hint="eastAsia"/>
                <w:bCs/>
                <w:color w:val="000000" w:themeColor="text1"/>
                <w:spacing w:val="-2"/>
                <w:szCs w:val="22"/>
              </w:rPr>
            </w:pPr>
            <w:r w:rsidRPr="009B39DB">
              <w:rPr>
                <w:rFonts w:hint="eastAsia"/>
                <w:b/>
                <w:color w:val="000000" w:themeColor="text1"/>
              </w:rPr>
              <w:t>目标和理由</w:t>
            </w:r>
            <w:r w:rsidRPr="009B39DB">
              <w:rPr>
                <w:b/>
                <w:color w:val="000000" w:themeColor="text1"/>
              </w:rPr>
              <w:t xml:space="preserve">, </w:t>
            </w:r>
            <w:r w:rsidRPr="009B39DB">
              <w:rPr>
                <w:rFonts w:hint="eastAsia"/>
                <w:b/>
                <w:color w:val="000000" w:themeColor="text1"/>
              </w:rPr>
              <w:t>如是紧急措施，说明紧急问题的性质</w:t>
            </w:r>
            <w:r w:rsidRPr="009B39DB">
              <w:rPr>
                <w:b/>
                <w:color w:val="000000" w:themeColor="text1"/>
              </w:rPr>
              <w:t>:</w:t>
            </w:r>
            <w:r w:rsidRPr="009B39DB">
              <w:rPr>
                <w:bCs/>
                <w:color w:val="000000" w:themeColor="text1"/>
                <w:spacing w:val="-2"/>
                <w:szCs w:val="22"/>
              </w:rPr>
              <w:t xml:space="preserve"> </w:t>
            </w:r>
          </w:p>
          <w:p w:rsidR="009B39DB" w:rsidRPr="009B39DB" w:rsidRDefault="009B39DB" w:rsidP="009B39DB">
            <w:pPr>
              <w:adjustRightInd w:val="0"/>
              <w:snapToGrid w:val="0"/>
              <w:spacing w:line="276" w:lineRule="auto"/>
              <w:ind w:left="108"/>
              <w:jc w:val="left"/>
              <w:rPr>
                <w:rFonts w:hint="eastAsia"/>
                <w:color w:val="000000" w:themeColor="text1"/>
                <w:spacing w:val="-2"/>
              </w:rPr>
            </w:pPr>
            <w:r w:rsidRPr="009B39DB">
              <w:rPr>
                <w:rFonts w:hint="eastAsia"/>
                <w:color w:val="000000" w:themeColor="text1"/>
                <w:spacing w:val="-2"/>
              </w:rPr>
              <w:t>十溴二苯醚作为阻燃剂广泛用于纺织品和塑料中。十溴二苯醚的持续生物累积性导致对其广泛分布和可能对环境的不可逆长期损害的关注，即使停止排放之后。十溴二苯醚的毒性根据其降解产物的毒性得到确定。此外，接触低溴化转换产品中的十溴二苯醚可能导致哺乳动物的神经毒害，包括人类。</w:t>
            </w:r>
          </w:p>
          <w:p w:rsidR="009B39DB" w:rsidRPr="009B39DB" w:rsidRDefault="009B39DB" w:rsidP="009B39DB">
            <w:pPr>
              <w:adjustRightInd w:val="0"/>
              <w:snapToGrid w:val="0"/>
              <w:spacing w:line="276" w:lineRule="auto"/>
              <w:ind w:left="108"/>
              <w:jc w:val="left"/>
              <w:rPr>
                <w:rFonts w:hint="eastAsia"/>
                <w:color w:val="000000" w:themeColor="text1"/>
              </w:rPr>
            </w:pPr>
            <w:r w:rsidRPr="009B39DB">
              <w:rPr>
                <w:rFonts w:hint="eastAsia"/>
                <w:color w:val="000000" w:themeColor="text1"/>
                <w:spacing w:val="-2"/>
              </w:rPr>
              <w:t>限制措施有望</w:t>
            </w:r>
            <w:proofErr w:type="gramStart"/>
            <w:r w:rsidRPr="009B39DB">
              <w:rPr>
                <w:rFonts w:hint="eastAsia"/>
                <w:color w:val="000000" w:themeColor="text1"/>
                <w:spacing w:val="-2"/>
              </w:rPr>
              <w:t>减少十溴</w:t>
            </w:r>
            <w:proofErr w:type="gramEnd"/>
            <w:r w:rsidRPr="009B39DB">
              <w:rPr>
                <w:rFonts w:hint="eastAsia"/>
                <w:color w:val="000000" w:themeColor="text1"/>
                <w:spacing w:val="-2"/>
              </w:rPr>
              <w:t>二苯醚的中长期排放，并且不对生产商和下游用户大量增加成本</w:t>
            </w:r>
            <w:r w:rsidRPr="009B39DB">
              <w:rPr>
                <w:rFonts w:hint="eastAsia"/>
                <w:color w:val="000000" w:themeColor="text1"/>
                <w:spacing w:val="-2"/>
              </w:rPr>
              <w:t xml:space="preserve"> </w:t>
            </w:r>
            <w:r w:rsidRPr="009B39DB">
              <w:rPr>
                <w:rFonts w:hint="eastAsia"/>
                <w:color w:val="000000" w:themeColor="text1"/>
                <w:spacing w:val="-2"/>
              </w:rPr>
              <w:t>，考虑到免除措施。</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lastRenderedPageBreak/>
              <w:t>8.</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rFonts w:hint="eastAsia"/>
                <w:b/>
                <w:color w:val="000000" w:themeColor="text1"/>
              </w:rPr>
            </w:pPr>
            <w:r w:rsidRPr="009B39DB">
              <w:rPr>
                <w:rFonts w:hint="eastAsia"/>
                <w:b/>
                <w:color w:val="000000" w:themeColor="text1"/>
              </w:rPr>
              <w:t>相关文件</w:t>
            </w:r>
            <w:r w:rsidRPr="009B39DB">
              <w:rPr>
                <w:b/>
                <w:color w:val="000000" w:themeColor="text1"/>
              </w:rPr>
              <w:t>:</w:t>
            </w:r>
            <w:r w:rsidRPr="009B39DB">
              <w:rPr>
                <w:rFonts w:hint="eastAsia"/>
                <w:b/>
                <w:color w:val="000000" w:themeColor="text1"/>
              </w:rPr>
              <w:t xml:space="preserve"> </w:t>
            </w:r>
          </w:p>
          <w:p w:rsidR="009B39DB" w:rsidRPr="009B39DB" w:rsidRDefault="009B39DB" w:rsidP="009B39DB">
            <w:pPr>
              <w:adjustRightInd w:val="0"/>
              <w:snapToGrid w:val="0"/>
              <w:spacing w:line="276" w:lineRule="auto"/>
              <w:rPr>
                <w:rFonts w:hint="eastAsia"/>
                <w:color w:val="000000" w:themeColor="text1"/>
              </w:rPr>
            </w:pPr>
            <w:r w:rsidRPr="009B39DB">
              <w:rPr>
                <w:rFonts w:hint="eastAsia"/>
                <w:b/>
                <w:color w:val="000000" w:themeColor="text1"/>
              </w:rPr>
              <w:t>·</w:t>
            </w:r>
            <w:r w:rsidRPr="009B39DB">
              <w:rPr>
                <w:rFonts w:hint="eastAsia"/>
                <w:color w:val="000000" w:themeColor="text1"/>
              </w:rPr>
              <w:t>欧洲议会和理事会关于化学品注册、评估、授权和限制的法规</w:t>
            </w:r>
            <w:r w:rsidRPr="009B39DB">
              <w:rPr>
                <w:color w:val="000000" w:themeColor="text1"/>
                <w:spacing w:val="-2"/>
              </w:rPr>
              <w:t xml:space="preserve"> (EC) No 1907/2006</w:t>
            </w:r>
            <w:r w:rsidRPr="009B39DB">
              <w:rPr>
                <w:rFonts w:hint="eastAsia"/>
                <w:color w:val="000000" w:themeColor="text1"/>
              </w:rPr>
              <w:t>（</w:t>
            </w:r>
            <w:r w:rsidRPr="009B39DB">
              <w:rPr>
                <w:color w:val="000000" w:themeColor="text1"/>
              </w:rPr>
              <w:t>REACH</w:t>
            </w:r>
            <w:r w:rsidRPr="009B39DB">
              <w:rPr>
                <w:rFonts w:hint="eastAsia"/>
                <w:color w:val="000000" w:themeColor="text1"/>
              </w:rPr>
              <w:t>法规）</w:t>
            </w:r>
            <w:r w:rsidRPr="009B39DB">
              <w:rPr>
                <w:rFonts w:hint="eastAsia"/>
                <w:color w:val="000000" w:themeColor="text1"/>
              </w:rPr>
              <w:t>:</w:t>
            </w:r>
          </w:p>
          <w:p w:rsidR="009B39DB" w:rsidRPr="009B39DB" w:rsidRDefault="009B39DB" w:rsidP="009B39DB">
            <w:pPr>
              <w:adjustRightInd w:val="0"/>
              <w:snapToGrid w:val="0"/>
              <w:spacing w:line="276" w:lineRule="auto"/>
              <w:rPr>
                <w:rFonts w:hint="eastAsia"/>
                <w:color w:val="000000" w:themeColor="text1"/>
              </w:rPr>
            </w:pPr>
            <w:r w:rsidRPr="009B39DB">
              <w:rPr>
                <w:color w:val="000000" w:themeColor="text1"/>
              </w:rPr>
              <w:t>http://eur-lex.europa.eu/legal-content/EN/TXT/?qid=1423064258789&amp;uri=CELEX:32006R1907</w:t>
            </w:r>
          </w:p>
          <w:p w:rsidR="009B39DB" w:rsidRPr="009B39DB" w:rsidRDefault="009B39DB" w:rsidP="009B39DB">
            <w:pPr>
              <w:adjustRightInd w:val="0"/>
              <w:snapToGrid w:val="0"/>
              <w:spacing w:line="276" w:lineRule="auto"/>
              <w:rPr>
                <w:rFonts w:hint="eastAsia"/>
                <w:color w:val="000000" w:themeColor="text1"/>
              </w:rPr>
            </w:pPr>
            <w:r w:rsidRPr="009B39DB">
              <w:rPr>
                <w:rFonts w:hint="eastAsia"/>
                <w:bCs/>
                <w:color w:val="000000" w:themeColor="text1"/>
                <w:spacing w:val="-2"/>
                <w:szCs w:val="22"/>
              </w:rPr>
              <w:t>·</w:t>
            </w:r>
            <w:r w:rsidRPr="009B39DB">
              <w:rPr>
                <w:rFonts w:hint="eastAsia"/>
                <w:color w:val="000000" w:themeColor="text1"/>
              </w:rPr>
              <w:t>风险评定委员会（</w:t>
            </w:r>
            <w:r w:rsidRPr="009B39DB">
              <w:rPr>
                <w:rFonts w:hint="eastAsia"/>
                <w:color w:val="000000" w:themeColor="text1"/>
              </w:rPr>
              <w:t>RAC</w:t>
            </w:r>
            <w:r w:rsidRPr="009B39DB">
              <w:rPr>
                <w:rFonts w:hint="eastAsia"/>
                <w:color w:val="000000" w:themeColor="text1"/>
              </w:rPr>
              <w:t>）和社会经济分析委员会（</w:t>
            </w:r>
            <w:r w:rsidRPr="009B39DB">
              <w:rPr>
                <w:rFonts w:hint="eastAsia"/>
                <w:color w:val="000000" w:themeColor="text1"/>
              </w:rPr>
              <w:t>SEAC</w:t>
            </w:r>
            <w:r w:rsidRPr="009B39DB">
              <w:rPr>
                <w:rFonts w:hint="eastAsia"/>
                <w:color w:val="000000" w:themeColor="text1"/>
              </w:rPr>
              <w:t>）的意见：</w:t>
            </w:r>
          </w:p>
          <w:p w:rsidR="009B39DB" w:rsidRPr="009B39DB" w:rsidRDefault="009B39DB" w:rsidP="009B39DB">
            <w:pPr>
              <w:adjustRightInd w:val="0"/>
              <w:snapToGrid w:val="0"/>
              <w:spacing w:line="276" w:lineRule="auto"/>
              <w:rPr>
                <w:rFonts w:hint="eastAsia"/>
                <w:color w:val="000000" w:themeColor="text1"/>
              </w:rPr>
            </w:pPr>
            <w:r w:rsidRPr="009B39DB">
              <w:rPr>
                <w:color w:val="000000" w:themeColor="text1"/>
              </w:rPr>
              <w:t>http://echa.europa.eu/documents/10162/b5ac0c91-e110-4afb-a68d-08a923b53275</w:t>
            </w:r>
          </w:p>
          <w:p w:rsidR="009B39DB" w:rsidRPr="009B39DB" w:rsidRDefault="009B39DB" w:rsidP="009B39DB">
            <w:pPr>
              <w:adjustRightInd w:val="0"/>
              <w:snapToGrid w:val="0"/>
              <w:spacing w:line="276" w:lineRule="auto"/>
              <w:rPr>
                <w:rFonts w:hint="eastAsia"/>
                <w:color w:val="000000" w:themeColor="text1"/>
              </w:rPr>
            </w:pPr>
            <w:r w:rsidRPr="009B39DB">
              <w:rPr>
                <w:rFonts w:hint="eastAsia"/>
                <w:color w:val="000000" w:themeColor="text1"/>
              </w:rPr>
              <w:t>·更多背景信息可从此处获取：</w:t>
            </w:r>
          </w:p>
          <w:p w:rsidR="009B39DB" w:rsidRPr="009B39DB" w:rsidRDefault="009B39DB" w:rsidP="009B39DB">
            <w:pPr>
              <w:adjustRightInd w:val="0"/>
              <w:snapToGrid w:val="0"/>
              <w:spacing w:line="276" w:lineRule="auto"/>
              <w:rPr>
                <w:rFonts w:hint="eastAsia"/>
                <w:color w:val="000000" w:themeColor="text1"/>
              </w:rPr>
            </w:pPr>
            <w:r w:rsidRPr="009B39DB">
              <w:rPr>
                <w:color w:val="000000" w:themeColor="text1"/>
              </w:rPr>
              <w:t> http://echa.europa.eu/previous-consultations-on-restriction-proposals/-/substance-rev/1897/term</w:t>
            </w:r>
          </w:p>
        </w:tc>
      </w:tr>
      <w:tr w:rsidR="009B39DB" w:rsidRPr="009B39DB" w:rsidTr="009B39DB">
        <w:trPr>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9.</w:t>
            </w:r>
          </w:p>
        </w:tc>
        <w:tc>
          <w:tcPr>
            <w:tcW w:w="1570"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jc w:val="left"/>
              <w:rPr>
                <w:rFonts w:hint="eastAsia"/>
                <w:b/>
                <w:color w:val="000000" w:themeColor="text1"/>
              </w:rPr>
            </w:pPr>
            <w:r w:rsidRPr="009B39DB">
              <w:rPr>
                <w:rFonts w:hint="eastAsia"/>
                <w:b/>
                <w:color w:val="000000" w:themeColor="text1"/>
              </w:rPr>
              <w:t>拟批准日期</w:t>
            </w:r>
            <w:r w:rsidRPr="009B39DB">
              <w:rPr>
                <w:b/>
                <w:color w:val="000000" w:themeColor="text1"/>
              </w:rPr>
              <w:t xml:space="preserve">:  </w:t>
            </w:r>
          </w:p>
          <w:p w:rsidR="009B39DB" w:rsidRPr="009B39DB" w:rsidRDefault="009B39DB" w:rsidP="009B39DB">
            <w:pPr>
              <w:adjustRightInd w:val="0"/>
              <w:snapToGrid w:val="0"/>
              <w:spacing w:line="276" w:lineRule="auto"/>
              <w:jc w:val="left"/>
              <w:rPr>
                <w:rFonts w:hint="eastAsia"/>
                <w:color w:val="000000" w:themeColor="text1"/>
              </w:rPr>
            </w:pPr>
            <w:r w:rsidRPr="009B39DB">
              <w:rPr>
                <w:rFonts w:hint="eastAsia"/>
                <w:b/>
                <w:color w:val="000000" w:themeColor="text1"/>
              </w:rPr>
              <w:t>拟生效日期</w:t>
            </w:r>
            <w:r w:rsidRPr="009B39DB">
              <w:rPr>
                <w:b/>
                <w:color w:val="000000" w:themeColor="text1"/>
              </w:rPr>
              <w:t xml:space="preserve">: </w:t>
            </w:r>
            <w:r w:rsidRPr="009B39DB">
              <w:rPr>
                <w:rFonts w:hint="eastAsia"/>
                <w:b/>
                <w:color w:val="000000" w:themeColor="text1"/>
              </w:rPr>
              <w:t xml:space="preserve"> </w:t>
            </w:r>
          </w:p>
        </w:tc>
        <w:tc>
          <w:tcPr>
            <w:tcW w:w="6106"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rFonts w:hint="eastAsia"/>
                <w:color w:val="000000" w:themeColor="text1"/>
              </w:rPr>
            </w:pPr>
            <w:r w:rsidRPr="009B39DB">
              <w:rPr>
                <w:color w:val="000000" w:themeColor="text1"/>
                <w:spacing w:val="-2"/>
                <w:szCs w:val="22"/>
              </w:rPr>
              <w:t>201</w:t>
            </w:r>
            <w:r w:rsidRPr="009B39DB">
              <w:rPr>
                <w:rFonts w:hint="eastAsia"/>
                <w:color w:val="000000" w:themeColor="text1"/>
                <w:spacing w:val="-2"/>
                <w:szCs w:val="22"/>
              </w:rPr>
              <w:t>6</w:t>
            </w:r>
            <w:r w:rsidRPr="009B39DB">
              <w:rPr>
                <w:rFonts w:hint="eastAsia"/>
                <w:color w:val="000000" w:themeColor="text1"/>
                <w:spacing w:val="-2"/>
                <w:szCs w:val="22"/>
              </w:rPr>
              <w:t>年下半年</w:t>
            </w:r>
          </w:p>
          <w:p w:rsidR="009B39DB" w:rsidRPr="009B39DB" w:rsidRDefault="009B39DB" w:rsidP="009B39DB">
            <w:pPr>
              <w:adjustRightInd w:val="0"/>
              <w:snapToGrid w:val="0"/>
              <w:spacing w:line="276" w:lineRule="auto"/>
              <w:rPr>
                <w:rFonts w:hint="eastAsia"/>
                <w:color w:val="000000" w:themeColor="text1"/>
                <w:spacing w:val="-2"/>
                <w:szCs w:val="22"/>
              </w:rPr>
            </w:pPr>
            <w:r w:rsidRPr="009B39DB">
              <w:rPr>
                <w:rFonts w:hint="eastAsia"/>
                <w:color w:val="000000" w:themeColor="text1"/>
                <w:spacing w:val="-2"/>
                <w:szCs w:val="22"/>
              </w:rPr>
              <w:t>在欧盟官方公报上公布之后</w:t>
            </w:r>
            <w:r w:rsidRPr="009B39DB">
              <w:rPr>
                <w:rFonts w:hint="eastAsia"/>
                <w:color w:val="000000" w:themeColor="text1"/>
                <w:spacing w:val="-2"/>
                <w:szCs w:val="22"/>
              </w:rPr>
              <w:t>20</w:t>
            </w:r>
            <w:r w:rsidRPr="009B39DB">
              <w:rPr>
                <w:rFonts w:hint="eastAsia"/>
                <w:color w:val="000000" w:themeColor="text1"/>
                <w:spacing w:val="-2"/>
                <w:szCs w:val="22"/>
              </w:rPr>
              <w:t>天（生效后</w:t>
            </w:r>
            <w:r w:rsidRPr="009B39DB">
              <w:rPr>
                <w:rFonts w:hint="eastAsia"/>
                <w:color w:val="000000" w:themeColor="text1"/>
                <w:spacing w:val="-2"/>
                <w:szCs w:val="22"/>
              </w:rPr>
              <w:t>18</w:t>
            </w:r>
            <w:r w:rsidRPr="009B39DB">
              <w:rPr>
                <w:rFonts w:hint="eastAsia"/>
                <w:color w:val="000000" w:themeColor="text1"/>
                <w:spacing w:val="-2"/>
                <w:szCs w:val="22"/>
              </w:rPr>
              <w:t>个月开始实施限制措施）。</w:t>
            </w:r>
          </w:p>
        </w:tc>
      </w:tr>
      <w:tr w:rsidR="009B39DB" w:rsidRPr="009B39DB" w:rsidTr="009B39DB">
        <w:trPr>
          <w:gridAfter w:val="1"/>
          <w:wAfter w:w="7" w:type="dxa"/>
          <w:cantSplit/>
          <w:jc w:val="center"/>
        </w:trPr>
        <w:tc>
          <w:tcPr>
            <w:tcW w:w="666" w:type="dxa"/>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10.</w:t>
            </w:r>
          </w:p>
        </w:tc>
        <w:tc>
          <w:tcPr>
            <w:tcW w:w="7669" w:type="dxa"/>
            <w:gridSpan w:val="2"/>
            <w:tcBorders>
              <w:top w:val="single" w:sz="4" w:space="0" w:color="auto"/>
              <w:bottom w:val="single" w:sz="4" w:space="0" w:color="auto"/>
            </w:tcBorders>
            <w:tcMar>
              <w:top w:w="57" w:type="dxa"/>
              <w:bottom w:w="57" w:type="dxa"/>
            </w:tcMar>
          </w:tcPr>
          <w:p w:rsidR="009B39DB" w:rsidRPr="009B39DB" w:rsidRDefault="009B39DB" w:rsidP="009B39DB">
            <w:pPr>
              <w:adjustRightInd w:val="0"/>
              <w:snapToGrid w:val="0"/>
              <w:spacing w:line="276" w:lineRule="auto"/>
              <w:rPr>
                <w:rFonts w:hint="eastAsia"/>
                <w:color w:val="000000" w:themeColor="text1"/>
              </w:rPr>
            </w:pPr>
            <w:r w:rsidRPr="009B39DB">
              <w:rPr>
                <w:rFonts w:hint="eastAsia"/>
                <w:b/>
                <w:color w:val="000000" w:themeColor="text1"/>
              </w:rPr>
              <w:t>提意见截止日期</w:t>
            </w:r>
            <w:r w:rsidRPr="009B39DB">
              <w:rPr>
                <w:b/>
                <w:color w:val="000000" w:themeColor="text1"/>
              </w:rPr>
              <w:t>:</w:t>
            </w:r>
            <w:r w:rsidRPr="009B39DB">
              <w:rPr>
                <w:color w:val="000000" w:themeColor="text1"/>
              </w:rPr>
              <w:t xml:space="preserve"> </w:t>
            </w:r>
            <w:r w:rsidRPr="009B39DB">
              <w:rPr>
                <w:rFonts w:hint="eastAsia"/>
                <w:color w:val="000000" w:themeColor="text1"/>
              </w:rPr>
              <w:t>通报之后</w:t>
            </w:r>
            <w:r w:rsidRPr="009B39DB">
              <w:rPr>
                <w:rFonts w:hint="eastAsia"/>
                <w:color w:val="000000" w:themeColor="text1"/>
              </w:rPr>
              <w:t>60</w:t>
            </w:r>
            <w:r w:rsidRPr="009B39DB">
              <w:rPr>
                <w:rFonts w:hint="eastAsia"/>
                <w:color w:val="000000" w:themeColor="text1"/>
              </w:rPr>
              <w:t>天</w:t>
            </w:r>
          </w:p>
        </w:tc>
      </w:tr>
      <w:tr w:rsidR="009B39DB" w:rsidRPr="009B39DB" w:rsidTr="009B39DB">
        <w:trPr>
          <w:gridAfter w:val="1"/>
          <w:wAfter w:w="7" w:type="dxa"/>
          <w:cantSplit/>
          <w:jc w:val="center"/>
        </w:trPr>
        <w:tc>
          <w:tcPr>
            <w:tcW w:w="666" w:type="dxa"/>
            <w:tcBorders>
              <w:top w:val="single" w:sz="4" w:space="0" w:color="auto"/>
              <w:bottom w:val="double" w:sz="4" w:space="0" w:color="auto"/>
            </w:tcBorders>
            <w:tcMar>
              <w:top w:w="57" w:type="dxa"/>
              <w:bottom w:w="57" w:type="dxa"/>
            </w:tcMar>
          </w:tcPr>
          <w:p w:rsidR="009B39DB" w:rsidRPr="009B39DB" w:rsidRDefault="009B39DB" w:rsidP="009B39DB">
            <w:pPr>
              <w:adjustRightInd w:val="0"/>
              <w:snapToGrid w:val="0"/>
              <w:spacing w:line="276" w:lineRule="auto"/>
              <w:rPr>
                <w:b/>
                <w:color w:val="000000" w:themeColor="text1"/>
              </w:rPr>
            </w:pPr>
            <w:r w:rsidRPr="009B39DB">
              <w:rPr>
                <w:b/>
                <w:color w:val="000000" w:themeColor="text1"/>
              </w:rPr>
              <w:t>11.</w:t>
            </w:r>
          </w:p>
        </w:tc>
        <w:tc>
          <w:tcPr>
            <w:tcW w:w="7669" w:type="dxa"/>
            <w:gridSpan w:val="2"/>
            <w:tcBorders>
              <w:top w:val="single" w:sz="4" w:space="0" w:color="auto"/>
              <w:bottom w:val="double" w:sz="4" w:space="0" w:color="auto"/>
            </w:tcBorders>
            <w:tcMar>
              <w:top w:w="57" w:type="dxa"/>
              <w:bottom w:w="57" w:type="dxa"/>
            </w:tcMar>
          </w:tcPr>
          <w:p w:rsidR="009B39DB" w:rsidRPr="009B39DB" w:rsidRDefault="009B39DB" w:rsidP="009B39DB">
            <w:pPr>
              <w:adjustRightInd w:val="0"/>
              <w:snapToGrid w:val="0"/>
              <w:spacing w:line="276" w:lineRule="auto"/>
              <w:rPr>
                <w:rFonts w:hint="eastAsia"/>
                <w:color w:val="000000" w:themeColor="text1"/>
              </w:rPr>
            </w:pPr>
            <w:r w:rsidRPr="009B39DB">
              <w:rPr>
                <w:rFonts w:hint="eastAsia"/>
                <w:b/>
                <w:color w:val="000000" w:themeColor="text1"/>
              </w:rPr>
              <w:t>文本可从以下机构得到：国家咨询点</w:t>
            </w:r>
            <w:r w:rsidRPr="009B39DB">
              <w:rPr>
                <w:b/>
                <w:color w:val="000000" w:themeColor="text1"/>
              </w:rPr>
              <w:t xml:space="preserve"> [</w:t>
            </w:r>
            <w:r w:rsidRPr="009B39DB">
              <w:rPr>
                <w:color w:val="000000" w:themeColor="text1"/>
              </w:rPr>
              <w:t>X</w:t>
            </w:r>
            <w:r w:rsidRPr="009B39DB">
              <w:rPr>
                <w:b/>
                <w:color w:val="000000" w:themeColor="text1"/>
              </w:rPr>
              <w:t xml:space="preserve">] </w:t>
            </w:r>
            <w:r w:rsidRPr="009B39DB">
              <w:rPr>
                <w:rFonts w:hint="eastAsia"/>
                <w:b/>
                <w:color w:val="000000" w:themeColor="text1"/>
              </w:rPr>
              <w:t>或其他机构，地址、</w:t>
            </w:r>
            <w:r w:rsidRPr="009B39DB">
              <w:rPr>
                <w:b/>
                <w:color w:val="000000" w:themeColor="text1"/>
              </w:rPr>
              <w:t xml:space="preserve"> </w:t>
            </w:r>
            <w:r w:rsidRPr="009B39DB">
              <w:rPr>
                <w:rFonts w:hint="eastAsia"/>
                <w:b/>
                <w:color w:val="000000" w:themeColor="text1"/>
              </w:rPr>
              <w:t>电话和传真号</w:t>
            </w:r>
            <w:r w:rsidRPr="009B39DB">
              <w:rPr>
                <w:b/>
                <w:color w:val="000000" w:themeColor="text1"/>
              </w:rPr>
              <w:t xml:space="preserve">, e-mail </w:t>
            </w:r>
            <w:r w:rsidRPr="009B39DB">
              <w:rPr>
                <w:rFonts w:hint="eastAsia"/>
                <w:b/>
                <w:color w:val="000000" w:themeColor="text1"/>
              </w:rPr>
              <w:t>地址和网址</w:t>
            </w:r>
            <w:r w:rsidRPr="009B39DB">
              <w:rPr>
                <w:b/>
                <w:color w:val="000000" w:themeColor="text1"/>
              </w:rPr>
              <w:t xml:space="preserve">:  </w:t>
            </w:r>
          </w:p>
        </w:tc>
      </w:tr>
    </w:tbl>
    <w:p w:rsidR="009B39DB" w:rsidRDefault="009B39DB" w:rsidP="009B39DB"/>
    <w:p w:rsidR="00DF206B" w:rsidRPr="009B39DB" w:rsidRDefault="00DF206B"/>
    <w:sectPr w:rsidR="00DF206B" w:rsidRPr="009B39DB" w:rsidSect="00514FAE">
      <w:pgSz w:w="11906" w:h="16838" w:code="9"/>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DB"/>
    <w:rsid w:val="00514FAE"/>
    <w:rsid w:val="009B39DB"/>
    <w:rsid w:val="00DF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DB"/>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B39DB"/>
    <w:pPr>
      <w:tabs>
        <w:tab w:val="center" w:pos="4513"/>
        <w:tab w:val="right" w:pos="9027"/>
      </w:tabs>
      <w:jc w:val="left"/>
    </w:pPr>
  </w:style>
  <w:style w:type="character" w:customStyle="1" w:styleId="Char">
    <w:name w:val="页眉 Char"/>
    <w:basedOn w:val="a0"/>
    <w:link w:val="a3"/>
    <w:rsid w:val="009B39DB"/>
    <w:rPr>
      <w:rFonts w:ascii="Times New Roman" w:eastAsia="宋体" w:hAnsi="Times New Roman" w:cs="Times New Roman"/>
      <w:kern w:val="0"/>
      <w:sz w:val="22"/>
      <w:szCs w:val="20"/>
      <w:lang w:val="en-GB"/>
    </w:rPr>
  </w:style>
  <w:style w:type="paragraph" w:styleId="a4">
    <w:name w:val="Title"/>
    <w:basedOn w:val="a"/>
    <w:link w:val="Char0"/>
    <w:qFormat/>
    <w:rsid w:val="009B39DB"/>
    <w:pPr>
      <w:jc w:val="center"/>
    </w:pPr>
    <w:rPr>
      <w:b/>
      <w:caps/>
      <w:kern w:val="28"/>
    </w:rPr>
  </w:style>
  <w:style w:type="character" w:customStyle="1" w:styleId="Char0">
    <w:name w:val="标题 Char"/>
    <w:basedOn w:val="a0"/>
    <w:link w:val="a4"/>
    <w:rsid w:val="009B39DB"/>
    <w:rPr>
      <w:rFonts w:ascii="Times New Roman" w:eastAsia="宋体" w:hAnsi="Times New Roman" w:cs="Times New Roman"/>
      <w:b/>
      <w:caps/>
      <w:kern w:val="28"/>
      <w:sz w:val="22"/>
      <w:szCs w:val="20"/>
      <w:lang w:val="en-GB"/>
    </w:rPr>
  </w:style>
  <w:style w:type="paragraph" w:styleId="a5">
    <w:name w:val="toa heading"/>
    <w:basedOn w:val="a"/>
    <w:next w:val="a"/>
    <w:semiHidden/>
    <w:rsid w:val="009B39D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DB"/>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B39DB"/>
    <w:pPr>
      <w:tabs>
        <w:tab w:val="center" w:pos="4513"/>
        <w:tab w:val="right" w:pos="9027"/>
      </w:tabs>
      <w:jc w:val="left"/>
    </w:pPr>
  </w:style>
  <w:style w:type="character" w:customStyle="1" w:styleId="Char">
    <w:name w:val="页眉 Char"/>
    <w:basedOn w:val="a0"/>
    <w:link w:val="a3"/>
    <w:rsid w:val="009B39DB"/>
    <w:rPr>
      <w:rFonts w:ascii="Times New Roman" w:eastAsia="宋体" w:hAnsi="Times New Roman" w:cs="Times New Roman"/>
      <w:kern w:val="0"/>
      <w:sz w:val="22"/>
      <w:szCs w:val="20"/>
      <w:lang w:val="en-GB"/>
    </w:rPr>
  </w:style>
  <w:style w:type="paragraph" w:styleId="a4">
    <w:name w:val="Title"/>
    <w:basedOn w:val="a"/>
    <w:link w:val="Char0"/>
    <w:qFormat/>
    <w:rsid w:val="009B39DB"/>
    <w:pPr>
      <w:jc w:val="center"/>
    </w:pPr>
    <w:rPr>
      <w:b/>
      <w:caps/>
      <w:kern w:val="28"/>
    </w:rPr>
  </w:style>
  <w:style w:type="character" w:customStyle="1" w:styleId="Char0">
    <w:name w:val="标题 Char"/>
    <w:basedOn w:val="a0"/>
    <w:link w:val="a4"/>
    <w:rsid w:val="009B39DB"/>
    <w:rPr>
      <w:rFonts w:ascii="Times New Roman" w:eastAsia="宋体" w:hAnsi="Times New Roman" w:cs="Times New Roman"/>
      <w:b/>
      <w:caps/>
      <w:kern w:val="28"/>
      <w:sz w:val="22"/>
      <w:szCs w:val="20"/>
      <w:lang w:val="en-GB"/>
    </w:rPr>
  </w:style>
  <w:style w:type="paragraph" w:styleId="a5">
    <w:name w:val="toa heading"/>
    <w:basedOn w:val="a"/>
    <w:next w:val="a"/>
    <w:semiHidden/>
    <w:rsid w:val="009B39D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233</Words>
  <Characters>1331</Characters>
  <Application>Microsoft Office Word</Application>
  <DocSecurity>0</DocSecurity>
  <Lines>11</Lines>
  <Paragraphs>3</Paragraphs>
  <ScaleCrop>false</ScaleCrop>
  <Company>china</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质标所</dc:creator>
  <cp:lastModifiedBy>质标所</cp:lastModifiedBy>
  <cp:revision>2</cp:revision>
  <dcterms:created xsi:type="dcterms:W3CDTF">2016-05-06T04:47:00Z</dcterms:created>
  <dcterms:modified xsi:type="dcterms:W3CDTF">2016-05-06T04:57:00Z</dcterms:modified>
</cp:coreProperties>
</file>