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0"/>
        <w:gridCol w:w="2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70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exact"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G/TBT/N/USA/</w:t>
            </w:r>
            <w:r>
              <w:rPr>
                <w:b/>
                <w:lang w:val="es-ES"/>
              </w:rPr>
              <w:t>1000</w:t>
            </w:r>
            <w:r>
              <w:rPr>
                <w:b/>
              </w:rPr>
              <w:t>/Add.1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5年12月11日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802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</w:t>
            </w:r>
            <w:bookmarkStart w:id="0" w:name="spsSerialNumber"/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-6536</w:t>
            </w:r>
            <w:bookmarkEnd w:id="0"/>
            <w:r>
              <w:rPr>
                <w:sz w:val="18"/>
                <w:szCs w:val="1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270" w:type="dxa"/>
            <w:vAlign w:val="top"/>
          </w:tcPr>
          <w:p>
            <w:pPr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  <w:vAlign w:val="top"/>
          </w:tcPr>
          <w:p>
            <w:pPr>
              <w:pStyle w:val="2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3"/>
        <w:rPr>
          <w:rFonts w:hint="eastAsia"/>
          <w:sz w:val="30"/>
        </w:rPr>
      </w:pPr>
      <w:r>
        <w:rPr>
          <w:rFonts w:hint="eastAsia"/>
          <w:sz w:val="30"/>
        </w:rPr>
        <w:t>通                报</w:t>
      </w:r>
    </w:p>
    <w:p/>
    <w:p>
      <w:pPr>
        <w:jc w:val="center"/>
      </w:pPr>
    </w:p>
    <w:p>
      <w:pPr>
        <w:pStyle w:val="6"/>
        <w:rPr>
          <w:u w:val="none"/>
        </w:rPr>
      </w:pPr>
      <w:r>
        <w:rPr>
          <w:rFonts w:hint="eastAsia"/>
        </w:rPr>
        <w:t>补      遗</w:t>
      </w:r>
    </w:p>
    <w:p>
      <w:pPr>
        <w:pStyle w:val="6"/>
        <w:rPr>
          <w:u w:val="none"/>
        </w:rPr>
      </w:pPr>
    </w:p>
    <w:p>
      <w:pPr>
        <w:pStyle w:val="6"/>
        <w:jc w:val="both"/>
        <w:rPr>
          <w:u w:val="none"/>
        </w:rPr>
      </w:pPr>
    </w:p>
    <w:p>
      <w:pPr>
        <w:pStyle w:val="6"/>
        <w:rPr>
          <w:rFonts w:hint="eastAsia"/>
          <w:color w:val="000000"/>
          <w:u w:val="none"/>
          <w:lang w:val="zh-CN" w:eastAsia="zh-CN"/>
        </w:rPr>
      </w:pPr>
      <w:r>
        <w:rPr>
          <w:rFonts w:hint="eastAsia"/>
          <w:u w:val="none"/>
        </w:rPr>
        <w:t>以下</w:t>
      </w:r>
      <w:r>
        <w:rPr>
          <w:u w:val="none"/>
        </w:rPr>
        <w:t>201</w:t>
      </w:r>
      <w:r>
        <w:rPr>
          <w:rFonts w:hint="eastAsia"/>
          <w:u w:val="none"/>
        </w:rPr>
        <w:t>5年12月9日的信息根据</w:t>
      </w:r>
      <w:r>
        <w:rPr>
          <w:rFonts w:hint="eastAsia"/>
        </w:rPr>
        <w:t>美国</w:t>
      </w:r>
      <w:r>
        <w:rPr>
          <w:rFonts w:hint="eastAsia"/>
          <w:u w:val="none"/>
        </w:rPr>
        <w:t>代表团的请求分发</w:t>
      </w:r>
    </w:p>
    <w:p>
      <w:pPr>
        <w:pStyle w:val="6"/>
        <w:rPr>
          <w:color w:val="000000"/>
          <w:u w:val="none"/>
        </w:rPr>
      </w:pPr>
    </w:p>
    <w:p>
      <w:pPr>
        <w:pStyle w:val="6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>
      <w:pPr>
        <w:pStyle w:val="6"/>
        <w:rPr>
          <w:rFonts w:hint="eastAsia"/>
          <w:color w:val="000000"/>
          <w:u w:val="none"/>
        </w:rPr>
      </w:pPr>
    </w:p>
    <w:p>
      <w:pPr>
        <w:pStyle w:val="6"/>
        <w:rPr>
          <w:rFonts w:hint="eastAsia"/>
          <w:color w:val="000000"/>
          <w:u w:val="none"/>
        </w:rPr>
      </w:pP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 xml:space="preserve">标题：某些化学物质重要新用途规则 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部门：环保署（</w:t>
      </w:r>
      <w:r>
        <w:rPr>
          <w:u w:val="none"/>
        </w:rPr>
        <w:t>EPA</w:t>
      </w:r>
      <w:r>
        <w:rPr>
          <w:rFonts w:hint="eastAsia"/>
          <w:u w:val="none"/>
        </w:rPr>
        <w:t>）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措施：最终法规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摘要：环保署（EPA）现根据有毒物质控制法案（TSCA）对须经生产前通知（</w:t>
      </w:r>
      <w:r>
        <w:rPr>
          <w:u w:val="none"/>
        </w:rPr>
        <w:t>PMN</w:t>
      </w:r>
      <w:r>
        <w:rPr>
          <w:rFonts w:hint="eastAsia"/>
          <w:u w:val="none"/>
        </w:rPr>
        <w:t>）的29种化学物质提出重要新用途规则(</w:t>
      </w:r>
      <w:r>
        <w:rPr>
          <w:u w:val="none"/>
        </w:rPr>
        <w:t>SNUR</w:t>
      </w:r>
      <w:r>
        <w:rPr>
          <w:rFonts w:hint="eastAsia"/>
          <w:u w:val="none"/>
        </w:rPr>
        <w:t>)最终法规。本措施就法规提案指定的重要新用途活动要求从事生产（包括进口）或加工这些化学物质的人员至少在活动开始之前90天通报EPA。要求的通报给EPA提供机会评估预定用途，如必要，可在开始之前禁止或限制该项活动。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</w:p>
    <w:p>
      <w:pPr>
        <w:pStyle w:val="6"/>
        <w:tabs>
          <w:tab w:val="left" w:pos="505"/>
          <w:tab w:val="left" w:pos="5280"/>
          <w:tab w:val="clear" w:pos="720"/>
        </w:tabs>
        <w:jc w:val="both"/>
        <w:rPr>
          <w:rFonts w:hint="eastAsia"/>
          <w:u w:val="none"/>
        </w:rPr>
      </w:pPr>
      <w:r>
        <w:rPr>
          <w:rFonts w:hint="eastAsia"/>
          <w:u w:val="none"/>
        </w:rPr>
        <w:t>日期：本最终法规于</w:t>
      </w:r>
      <w:r>
        <w:rPr>
          <w:u w:val="none"/>
        </w:rPr>
        <w:t>201</w:t>
      </w:r>
      <w:r>
        <w:rPr>
          <w:rFonts w:hint="eastAsia"/>
          <w:u w:val="none"/>
        </w:rPr>
        <w:t>6年2月2日生效。</w:t>
      </w:r>
    </w:p>
    <w:p>
      <w:pPr>
        <w:pStyle w:val="6"/>
        <w:tabs>
          <w:tab w:val="left" w:pos="505"/>
          <w:tab w:val="left" w:pos="5280"/>
          <w:tab w:val="clear" w:pos="720"/>
        </w:tabs>
        <w:jc w:val="both"/>
        <w:rPr>
          <w:rFonts w:hint="eastAsia"/>
          <w:u w:val="none"/>
        </w:rPr>
      </w:pPr>
    </w:p>
    <w:p>
      <w:pPr>
        <w:pStyle w:val="6"/>
        <w:jc w:val="both"/>
        <w:rPr>
          <w:rFonts w:hint="eastAsia"/>
          <w:u w:val="none"/>
        </w:rPr>
      </w:pPr>
      <w:r>
        <w:rPr>
          <w:rFonts w:hint="eastAsia"/>
          <w:u w:val="none"/>
        </w:rPr>
        <w:t>网址：</w:t>
      </w:r>
    </w:p>
    <w:p>
      <w:pPr>
        <w:pStyle w:val="6"/>
        <w:jc w:val="both"/>
        <w:rPr>
          <w:rFonts w:hint="eastAsia"/>
          <w:u w:val="none"/>
        </w:rPr>
      </w:pPr>
      <w:r>
        <w:rPr>
          <w:u w:val="none"/>
        </w:rPr>
        <w:t>https://members.wto.org/crnattachments/2015/TBT/USA/15_4884_00_e.pdf</w:t>
      </w:r>
    </w:p>
    <w:p>
      <w:pPr>
        <w:pStyle w:val="6"/>
        <w:rPr>
          <w:rFonts w:hint="eastAsia"/>
          <w:b/>
          <w:u w:val="none"/>
        </w:rPr>
      </w:pPr>
    </w:p>
    <w:p>
      <w:pPr>
        <w:pStyle w:val="6"/>
        <w:rPr>
          <w:rFonts w:hint="eastAsia"/>
          <w:b/>
          <w:u w:val="none"/>
        </w:rPr>
      </w:pPr>
      <w:r>
        <w:rPr>
          <w:b/>
          <w:u w:val="none"/>
        </w:rPr>
        <w:t>__________</w:t>
      </w:r>
    </w:p>
    <w:p>
      <w:pPr>
        <w:pStyle w:val="6"/>
        <w:rPr>
          <w:rFonts w:hint="eastAsia"/>
          <w:b/>
          <w:u w:val="none"/>
        </w:rPr>
      </w:pPr>
    </w:p>
    <w:p>
      <w:r>
        <w:rPr>
          <w:rFonts w:hint="eastAsia"/>
        </w:rPr>
        <w:t xml:space="preserve"> </w:t>
      </w:r>
    </w:p>
    <w:p/>
    <w:p>
      <w:pPr>
        <w:tabs>
          <w:tab w:val="clear" w:pos="720"/>
        </w:tabs>
      </w:pPr>
      <w:bookmarkStart w:id="1" w:name="_GoBack"/>
      <w:bookmarkEnd w:id="1"/>
    </w:p>
    <w:sectPr>
      <w:headerReference r:id="rId3" w:type="default"/>
      <w:headerReference r:id="rId4" w:type="even"/>
      <w:pgSz w:w="11906" w:h="16838"/>
      <w:pgMar w:top="1559" w:right="1440" w:bottom="1134" w:left="1440" w:header="720" w:footer="144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tabs>
        <w:tab w:val="right" w:pos="9026"/>
        <w:tab w:val="clear" w:pos="4513"/>
        <w:tab w:val="clear" w:pos="9027"/>
      </w:tabs>
    </w:pPr>
    <w:r>
      <w:tab/>
    </w:r>
  </w:p>
  <w:p>
    <w:pPr>
      <w:pStyle w:val="2"/>
      <w:tabs>
        <w:tab w:val="right" w:pos="9026"/>
        <w:tab w:val="clear" w:pos="4513"/>
        <w:tab w:val="clear" w:pos="9027"/>
      </w:tabs>
    </w:pPr>
  </w:p>
  <w:p>
    <w:pPr>
      <w:pStyle w:val="2"/>
      <w:tabs>
        <w:tab w:val="right" w:pos="9026"/>
        <w:tab w:val="clear" w:pos="4513"/>
        <w:tab w:val="clear" w:pos="902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tabs>
        <w:tab w:val="left" w:pos="1440"/>
        <w:tab w:val="clear" w:pos="4513"/>
        <w:tab w:val="clear" w:pos="902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92D44"/>
    <w:rsid w:val="38892D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3">
    <w:name w:val="Title"/>
    <w:basedOn w:val="1"/>
    <w:qFormat/>
    <w:uiPriority w:val="0"/>
    <w:pPr>
      <w:jc w:val="center"/>
    </w:pPr>
    <w:rPr>
      <w:b/>
      <w:caps/>
      <w:kern w:val="28"/>
    </w:rPr>
  </w:style>
  <w:style w:type="paragraph" w:customStyle="1" w:styleId="6">
    <w:name w:val="Title 2"/>
    <w:basedOn w:val="1"/>
    <w:uiPriority w:val="0"/>
    <w:pPr>
      <w:jc w:val="center"/>
    </w:pPr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2016-01-04T08:14:00Z</dcterms:created>
  <dc:creator>gly</dc:creator>
  <cp:lastModifiedBy>gly</cp:lastModifiedBy>
  <dcterms:modified xsi:type="dcterms:W3CDTF">2016-01-04T08:14:49Z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