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6"/>
        <w:tblW w:w="9072" w:type="dxa"/>
        <w:tblInd w:w="108" w:type="dxa"/>
        <w:tblLayout w:type="fixed"/>
        <w:tblCellMar>
          <w:top w:w="0" w:type="dxa"/>
          <w:left w:w="108" w:type="dxa"/>
          <w:bottom w:w="0" w:type="dxa"/>
          <w:right w:w="108" w:type="dxa"/>
        </w:tblCellMar>
      </w:tblPr>
      <w:tblGrid>
        <w:gridCol w:w="6443"/>
        <w:gridCol w:w="2629"/>
      </w:tblGrid>
      <w:tr>
        <w:tblPrEx>
          <w:tblLayout w:type="fixed"/>
          <w:tblCellMar>
            <w:top w:w="0" w:type="dxa"/>
            <w:left w:w="108" w:type="dxa"/>
            <w:bottom w:w="0" w:type="dxa"/>
            <w:right w:w="108" w:type="dxa"/>
          </w:tblCellMar>
        </w:tblPrEx>
        <w:trPr>
          <w:cantSplit/>
        </w:trPr>
        <w:tc>
          <w:tcPr>
            <w:tcW w:w="6443" w:type="dxa"/>
            <w:vMerge w:val="restart"/>
            <w:vAlign w:val="top"/>
          </w:tcPr>
          <w:p>
            <w:pPr>
              <w:spacing w:line="360" w:lineRule="auto"/>
              <w:jc w:val="left"/>
              <w:rPr>
                <w:rFonts w:hint="eastAsia"/>
                <w:b/>
                <w:smallCaps/>
                <w:sz w:val="44"/>
              </w:rPr>
            </w:pPr>
            <w:r>
              <w:rPr>
                <w:rFonts w:hint="eastAsia"/>
                <w:b/>
                <w:smallCaps/>
                <w:sz w:val="44"/>
              </w:rPr>
              <w:t>世界贸易组织</w:t>
            </w:r>
          </w:p>
          <w:p>
            <w:pPr>
              <w:jc w:val="left"/>
              <w:rPr>
                <w:b/>
                <w:smallCaps/>
                <w:sz w:val="18"/>
              </w:rPr>
            </w:pPr>
          </w:p>
        </w:tc>
        <w:tc>
          <w:tcPr>
            <w:tcW w:w="2629" w:type="dxa"/>
            <w:vAlign w:val="top"/>
          </w:tcPr>
          <w:p>
            <w:pPr>
              <w:jc w:val="left"/>
              <w:rPr>
                <w:u w:val="single"/>
              </w:rPr>
            </w:pPr>
          </w:p>
        </w:tc>
      </w:tr>
      <w:tr>
        <w:tblPrEx>
          <w:tblLayout w:type="fixed"/>
          <w:tblCellMar>
            <w:top w:w="0" w:type="dxa"/>
            <w:left w:w="108" w:type="dxa"/>
            <w:bottom w:w="0" w:type="dxa"/>
            <w:right w:w="108" w:type="dxa"/>
          </w:tblCellMar>
        </w:tblPrEx>
        <w:trPr>
          <w:cantSplit/>
          <w:trHeight w:val="120" w:hRule="exact"/>
        </w:trPr>
        <w:tc>
          <w:tcPr>
            <w:tcW w:w="6443" w:type="dxa"/>
            <w:vMerge w:val="continue"/>
            <w:vAlign w:val="top"/>
          </w:tcPr>
          <w:p>
            <w:pPr>
              <w:spacing w:before="240" w:line="380" w:lineRule="exact"/>
              <w:jc w:val="left"/>
            </w:pPr>
          </w:p>
        </w:tc>
        <w:tc>
          <w:tcPr>
            <w:tcW w:w="2629" w:type="dxa"/>
            <w:vAlign w:val="top"/>
          </w:tcPr>
          <w:p>
            <w:pPr>
              <w:jc w:val="left"/>
            </w:pPr>
          </w:p>
        </w:tc>
      </w:tr>
      <w:tr>
        <w:tblPrEx>
          <w:tblLayout w:type="fixed"/>
          <w:tblCellMar>
            <w:top w:w="0" w:type="dxa"/>
            <w:left w:w="108" w:type="dxa"/>
            <w:bottom w:w="0" w:type="dxa"/>
            <w:right w:w="108" w:type="dxa"/>
          </w:tblCellMar>
        </w:tblPrEx>
        <w:trPr>
          <w:cantSplit/>
        </w:trPr>
        <w:tc>
          <w:tcPr>
            <w:tcW w:w="6443" w:type="dxa"/>
            <w:vMerge w:val="continue"/>
            <w:vAlign w:val="top"/>
          </w:tcPr>
          <w:p>
            <w:pPr>
              <w:spacing w:before="240" w:line="380" w:lineRule="exact"/>
              <w:jc w:val="left"/>
              <w:rPr>
                <w:smallCaps/>
                <w:sz w:val="44"/>
              </w:rPr>
            </w:pPr>
          </w:p>
        </w:tc>
        <w:tc>
          <w:tcPr>
            <w:tcW w:w="2629" w:type="dxa"/>
            <w:vAlign w:val="top"/>
          </w:tcPr>
          <w:p>
            <w:pPr>
              <w:jc w:val="left"/>
              <w:rPr>
                <w:rFonts w:hint="eastAsia"/>
                <w:b/>
              </w:rPr>
            </w:pPr>
            <w:r>
              <w:rPr>
                <w:b/>
              </w:rPr>
              <w:t>G/TBT/N/EU/</w:t>
            </w:r>
            <w:r>
              <w:rPr>
                <w:rFonts w:hint="eastAsia"/>
                <w:b/>
              </w:rPr>
              <w:t>329</w:t>
            </w:r>
          </w:p>
          <w:p>
            <w:pPr>
              <w:jc w:val="left"/>
              <w:rPr>
                <w:rFonts w:hint="eastAsia"/>
              </w:rPr>
            </w:pPr>
            <w:r>
              <w:t>201</w:t>
            </w:r>
            <w:r>
              <w:rPr>
                <w:rFonts w:hint="eastAsia"/>
              </w:rPr>
              <w:t>5年12月11日</w:t>
            </w:r>
          </w:p>
        </w:tc>
      </w:tr>
      <w:tr>
        <w:tblPrEx>
          <w:tblLayout w:type="fixed"/>
          <w:tblCellMar>
            <w:top w:w="0" w:type="dxa"/>
            <w:left w:w="108" w:type="dxa"/>
            <w:bottom w:w="0" w:type="dxa"/>
            <w:right w:w="108" w:type="dxa"/>
          </w:tblCellMar>
        </w:tblPrEx>
        <w:tc>
          <w:tcPr>
            <w:tcW w:w="6443" w:type="dxa"/>
            <w:tcBorders>
              <w:bottom w:val="single" w:color="auto" w:sz="4" w:space="0"/>
            </w:tcBorders>
            <w:vAlign w:val="top"/>
          </w:tcPr>
          <w:p>
            <w:pPr>
              <w:jc w:val="left"/>
            </w:pPr>
          </w:p>
        </w:tc>
        <w:tc>
          <w:tcPr>
            <w:tcW w:w="2629" w:type="dxa"/>
            <w:tcBorders>
              <w:bottom w:val="single" w:color="auto" w:sz="4" w:space="0"/>
            </w:tcBorders>
            <w:vAlign w:val="top"/>
          </w:tcPr>
          <w:p>
            <w:pPr>
              <w:jc w:val="left"/>
              <w:rPr>
                <w:sz w:val="18"/>
              </w:rPr>
            </w:pPr>
            <w:r>
              <w:rPr>
                <w:sz w:val="18"/>
                <w:szCs w:val="18"/>
              </w:rPr>
              <w:t>(1</w:t>
            </w:r>
            <w:r>
              <w:rPr>
                <w:rFonts w:hint="eastAsia"/>
                <w:sz w:val="18"/>
                <w:szCs w:val="18"/>
              </w:rPr>
              <w:t>5</w:t>
            </w:r>
            <w:r>
              <w:rPr>
                <w:sz w:val="18"/>
                <w:szCs w:val="18"/>
              </w:rPr>
              <w:t>-6535)</w:t>
            </w:r>
          </w:p>
        </w:tc>
      </w:tr>
      <w:tr>
        <w:tblPrEx>
          <w:tblLayout w:type="fixed"/>
          <w:tblCellMar>
            <w:top w:w="0" w:type="dxa"/>
            <w:left w:w="108" w:type="dxa"/>
            <w:bottom w:w="0" w:type="dxa"/>
            <w:right w:w="108" w:type="dxa"/>
          </w:tblCellMar>
        </w:tblPrEx>
        <w:trPr>
          <w:trHeight w:val="160" w:hRule="exact"/>
        </w:trPr>
        <w:tc>
          <w:tcPr>
            <w:tcW w:w="6443" w:type="dxa"/>
            <w:vAlign w:val="top"/>
          </w:tcPr>
          <w:p>
            <w:pPr>
              <w:jc w:val="left"/>
            </w:pPr>
          </w:p>
        </w:tc>
        <w:tc>
          <w:tcPr>
            <w:tcW w:w="2629" w:type="dxa"/>
            <w:vAlign w:val="top"/>
          </w:tcPr>
          <w:p>
            <w:pPr>
              <w:jc w:val="left"/>
            </w:pPr>
          </w:p>
        </w:tc>
      </w:tr>
      <w:tr>
        <w:tblPrEx>
          <w:tblLayout w:type="fixed"/>
          <w:tblCellMar>
            <w:top w:w="0" w:type="dxa"/>
            <w:left w:w="108" w:type="dxa"/>
            <w:bottom w:w="0" w:type="dxa"/>
            <w:right w:w="108" w:type="dxa"/>
          </w:tblCellMar>
        </w:tblPrEx>
        <w:tc>
          <w:tcPr>
            <w:tcW w:w="6443" w:type="dxa"/>
            <w:vAlign w:val="top"/>
          </w:tcPr>
          <w:p>
            <w:pPr>
              <w:jc w:val="left"/>
              <w:rPr>
                <w:rFonts w:hint="eastAsia"/>
                <w:b/>
              </w:rPr>
            </w:pPr>
            <w:r>
              <w:rPr>
                <w:rFonts w:hint="eastAsia"/>
                <w:b/>
              </w:rPr>
              <w:t>贸易技术壁垒委员会</w:t>
            </w:r>
          </w:p>
        </w:tc>
        <w:tc>
          <w:tcPr>
            <w:tcW w:w="2629" w:type="dxa"/>
            <w:vAlign w:val="top"/>
          </w:tcPr>
          <w:p>
            <w:pPr>
              <w:pStyle w:val="3"/>
              <w:tabs>
                <w:tab w:val="left" w:pos="962"/>
              </w:tabs>
              <w:rPr>
                <w:rFonts w:hint="eastAsia"/>
              </w:rPr>
            </w:pPr>
            <w:r>
              <w:rPr>
                <w:rFonts w:hint="eastAsia"/>
              </w:rPr>
              <w:t>原文：英语</w:t>
            </w:r>
          </w:p>
        </w:tc>
      </w:tr>
    </w:tbl>
    <w:p/>
    <w:p>
      <w:pPr>
        <w:pStyle w:val="4"/>
        <w:rPr>
          <w:rFonts w:hint="eastAsia"/>
          <w:sz w:val="30"/>
        </w:rPr>
      </w:pPr>
      <w:r>
        <w:rPr>
          <w:rFonts w:hint="eastAsia"/>
          <w:sz w:val="30"/>
        </w:rPr>
        <w:t>通             报</w:t>
      </w:r>
    </w:p>
    <w:p/>
    <w:p>
      <w:pPr>
        <w:jc w:val="center"/>
      </w:pPr>
      <w:r>
        <w:rPr>
          <w:rFonts w:hint="eastAsia"/>
        </w:rPr>
        <w:t>以下通报根据TBT协定第</w:t>
      </w:r>
      <w:r>
        <w:t>10.6</w:t>
      </w:r>
      <w:r>
        <w:rPr>
          <w:rFonts w:hint="eastAsia"/>
        </w:rPr>
        <w:t xml:space="preserve"> 条分发</w:t>
      </w:r>
    </w:p>
    <w:p>
      <w:pPr>
        <w:jc w:val="center"/>
      </w:pPr>
    </w:p>
    <w:tbl>
      <w:tblPr>
        <w:tblStyle w:val="6"/>
        <w:tblW w:w="9070" w:type="dxa"/>
        <w:tblInd w:w="108"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4253"/>
        <w:gridCol w:w="425"/>
        <w:gridCol w:w="3683"/>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double" w:color="auto" w:sz="4" w:space="0"/>
              <w:bottom w:val="single" w:color="auto" w:sz="4" w:space="0"/>
            </w:tcBorders>
            <w:vAlign w:val="top"/>
          </w:tcPr>
          <w:p>
            <w:pPr>
              <w:spacing w:before="120"/>
              <w:rPr>
                <w:b/>
              </w:rPr>
            </w:pPr>
            <w:r>
              <w:rPr>
                <w:b/>
              </w:rPr>
              <w:t>1.</w:t>
            </w:r>
          </w:p>
        </w:tc>
        <w:tc>
          <w:tcPr>
            <w:tcW w:w="8361" w:type="dxa"/>
            <w:gridSpan w:val="3"/>
            <w:tcBorders>
              <w:top w:val="double" w:color="auto" w:sz="4" w:space="0"/>
              <w:bottom w:val="single" w:color="auto" w:sz="4" w:space="0"/>
            </w:tcBorders>
            <w:vAlign w:val="top"/>
          </w:tcPr>
          <w:p>
            <w:pPr>
              <w:spacing w:before="120" w:beforeLines="50" w:after="120"/>
              <w:rPr>
                <w:rFonts w:hint="eastAsia"/>
                <w:u w:val="single"/>
              </w:rPr>
            </w:pPr>
            <w:r>
              <w:rPr>
                <w:rFonts w:hint="eastAsia"/>
                <w:b/>
              </w:rPr>
              <w:t>通报成员：</w:t>
            </w:r>
            <w:r>
              <w:rPr>
                <w:rFonts w:hint="eastAsia"/>
                <w:u w:val="single"/>
              </w:rPr>
              <w:t>欧盟</w:t>
            </w:r>
          </w:p>
          <w:p>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条)：</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2.</w:t>
            </w:r>
          </w:p>
        </w:tc>
        <w:tc>
          <w:tcPr>
            <w:tcW w:w="8361" w:type="dxa"/>
            <w:gridSpan w:val="3"/>
            <w:tcBorders>
              <w:top w:val="single" w:color="auto" w:sz="4" w:space="0"/>
              <w:bottom w:val="single" w:color="auto" w:sz="4" w:space="0"/>
            </w:tcBorders>
            <w:vAlign w:val="top"/>
          </w:tcPr>
          <w:p>
            <w:pPr>
              <w:pStyle w:val="2"/>
              <w:spacing w:before="120" w:beforeLines="50" w:after="120" w:afterLines="50"/>
              <w:rPr>
                <w:rFonts w:hint="eastAsia"/>
              </w:rPr>
            </w:pPr>
            <w:r>
              <w:rPr>
                <w:rFonts w:hint="eastAsia"/>
              </w:rPr>
              <w:t>负责机构：</w:t>
            </w:r>
            <w:r>
              <w:rPr>
                <w:rFonts w:hint="eastAsia"/>
                <w:b w:val="0"/>
              </w:rPr>
              <w:t>欧盟委员会</w:t>
            </w:r>
            <w:r>
              <w:rPr>
                <w:b w:val="0"/>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3.</w:t>
            </w:r>
          </w:p>
        </w:tc>
        <w:tc>
          <w:tcPr>
            <w:tcW w:w="8361" w:type="dxa"/>
            <w:gridSpan w:val="3"/>
            <w:tcBorders>
              <w:top w:val="single" w:color="auto" w:sz="4" w:space="0"/>
              <w:bottom w:val="single" w:color="auto" w:sz="4" w:space="0"/>
            </w:tcBorders>
            <w:vAlign w:val="top"/>
          </w:tcPr>
          <w:p>
            <w:pPr>
              <w:spacing w:before="120" w:after="120"/>
            </w:pPr>
            <w:r>
              <w:rPr>
                <w:rFonts w:hint="eastAsia"/>
                <w:b/>
              </w:rPr>
              <w:t>通报依据的条款</w:t>
            </w:r>
            <w:r>
              <w:rPr>
                <w:b/>
              </w:rPr>
              <w:t xml:space="preserve"> 2.9.2 [X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lang w:val="zh-CN" w:eastAsia="zh-CN"/>
              </w:rPr>
              <w:t>     </w:t>
            </w:r>
            <w:r>
              <w:fldChar w:fldCharType="end"/>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4.</w:t>
            </w:r>
          </w:p>
        </w:tc>
        <w:tc>
          <w:tcPr>
            <w:tcW w:w="8361" w:type="dxa"/>
            <w:gridSpan w:val="3"/>
            <w:tcBorders>
              <w:top w:val="single" w:color="auto" w:sz="4" w:space="0"/>
              <w:bottom w:val="single" w:color="auto" w:sz="4" w:space="0"/>
            </w:tcBorders>
            <w:vAlign w:val="top"/>
          </w:tcPr>
          <w:p>
            <w:pPr>
              <w:spacing w:before="120"/>
              <w:jc w:val="left"/>
              <w:rPr>
                <w:rFonts w:hint="eastAsia"/>
                <w:bCs/>
                <w:spacing w:val="-2"/>
              </w:rPr>
            </w:pPr>
            <w:r>
              <w:rPr>
                <w:rFonts w:hint="eastAsia"/>
                <w:b/>
              </w:rPr>
              <w:t>覆盖的产品</w:t>
            </w:r>
            <w:r>
              <w:rPr>
                <w:b/>
              </w:rPr>
              <w:t xml:space="preserve"> (</w:t>
            </w:r>
            <w:r>
              <w:rPr>
                <w:rFonts w:hint="eastAsia"/>
                <w:b/>
              </w:rPr>
              <w:t xml:space="preserve"> 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b/>
              </w:rPr>
              <w:t>:</w:t>
            </w:r>
            <w:r>
              <w:rPr>
                <w:rFonts w:hint="eastAsia"/>
                <w:b/>
              </w:rPr>
              <w:t xml:space="preserve"> </w:t>
            </w:r>
            <w:r>
              <w:rPr>
                <w:rFonts w:hint="eastAsia"/>
              </w:rPr>
              <w:t>4种化学物质</w:t>
            </w:r>
            <w:r>
              <w:rPr>
                <w:rFonts w:hint="eastAsia"/>
                <w:bCs/>
                <w:spacing w:val="-2"/>
              </w:rPr>
              <w:t>:</w:t>
            </w:r>
          </w:p>
          <w:p>
            <w:pPr>
              <w:jc w:val="left"/>
              <w:rPr>
                <w:rFonts w:hint="eastAsia"/>
                <w:bCs/>
                <w:spacing w:val="-2"/>
              </w:rPr>
            </w:pPr>
            <w:r>
              <w:rPr>
                <w:rFonts w:hint="eastAsia"/>
                <w:bCs/>
                <w:spacing w:val="-2"/>
              </w:rPr>
              <w:t>·邻苯二甲酸二(2-乙基己)酯 (DEHP)（</w:t>
            </w:r>
            <w:r>
              <w:t>EC No. 204-211-0, CAS No. 117-81-7</w:t>
            </w:r>
            <w:r>
              <w:rPr>
                <w:rFonts w:hint="eastAsia"/>
                <w:bCs/>
                <w:spacing w:val="-2"/>
              </w:rPr>
              <w:t>）</w:t>
            </w:r>
          </w:p>
          <w:p>
            <w:pPr>
              <w:jc w:val="left"/>
              <w:rPr>
                <w:rFonts w:hint="eastAsia"/>
                <w:bCs/>
                <w:spacing w:val="-2"/>
              </w:rPr>
            </w:pPr>
            <w:r>
              <w:rPr>
                <w:rFonts w:hint="eastAsia"/>
                <w:bCs/>
                <w:spacing w:val="-2"/>
              </w:rPr>
              <w:t>·邻苯二甲酸二丁酯（DBP）（</w:t>
            </w:r>
            <w:r>
              <w:rPr>
                <w:lang w:val="es-ES"/>
              </w:rPr>
              <w:t>EC No. 201-557-4, CAS No. 84-74-2</w:t>
            </w:r>
            <w:r>
              <w:rPr>
                <w:rFonts w:hint="eastAsia"/>
                <w:bCs/>
                <w:spacing w:val="-2"/>
              </w:rPr>
              <w:t>）</w:t>
            </w:r>
          </w:p>
          <w:p>
            <w:pPr>
              <w:jc w:val="left"/>
              <w:rPr>
                <w:rFonts w:hint="eastAsia"/>
                <w:bCs/>
                <w:spacing w:val="-2"/>
              </w:rPr>
            </w:pPr>
            <w:r>
              <w:rPr>
                <w:rFonts w:hint="eastAsia"/>
                <w:bCs/>
                <w:spacing w:val="-2"/>
              </w:rPr>
              <w:t>·邻苯二甲酸丁苄酯(BBP)（</w:t>
            </w:r>
            <w:r>
              <w:t>EC No. 201-622-7, CAS No. 85-68-7</w:t>
            </w:r>
            <w:r>
              <w:rPr>
                <w:rFonts w:hint="eastAsia"/>
                <w:bCs/>
                <w:spacing w:val="-2"/>
              </w:rPr>
              <w:t>）</w:t>
            </w:r>
          </w:p>
          <w:p>
            <w:pPr>
              <w:jc w:val="left"/>
              <w:rPr>
                <w:rFonts w:hint="eastAsia"/>
                <w:bCs/>
                <w:spacing w:val="-2"/>
              </w:rPr>
            </w:pPr>
            <w:r>
              <w:rPr>
                <w:rFonts w:hint="eastAsia"/>
                <w:bCs/>
                <w:spacing w:val="-2"/>
              </w:rPr>
              <w:t>·邻苯二甲酸二异丁酯 (DIBP)（</w:t>
            </w:r>
            <w:r>
              <w:t>EC No. 201-553-2, CAS No. 84-69-5</w:t>
            </w:r>
            <w:r>
              <w:rPr>
                <w:rFonts w:hint="eastAsia"/>
                <w:bCs/>
                <w:spacing w:val="-2"/>
              </w:rPr>
              <w:t>）</w:t>
            </w:r>
          </w:p>
          <w:p>
            <w:pPr>
              <w:jc w:val="left"/>
              <w:rPr>
                <w:rFonts w:hint="eastAsia"/>
              </w:rPr>
            </w:pPr>
            <w:r>
              <w:rPr>
                <w:rFonts w:hint="eastAsia"/>
                <w:bCs/>
                <w:spacing w:val="-2"/>
              </w:rPr>
              <w:t xml:space="preserve">   邻苯二甲酸二辛酯，其它邻苯二甲酸酯。</w:t>
            </w:r>
          </w:p>
          <w:p>
            <w:pPr>
              <w:spacing w:after="120" w:afterLines="50"/>
              <w:jc w:val="left"/>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hint="eastAsia" w:ascii="CG Times" w:hAnsi="CG Times"/>
                <w:color w:val="000000"/>
              </w:rPr>
              <w:t xml:space="preserve">      </w:t>
            </w:r>
            <w:r>
              <w:rPr>
                <w:rFonts w:ascii="CG Times" w:hAnsi="CG Times"/>
                <w:b/>
                <w:color w:val="000000"/>
              </w:rPr>
              <w:t>HS:</w:t>
            </w:r>
            <w:r>
              <w:rPr>
                <w:rFonts w:ascii="CG Times" w:hAnsi="CG Times"/>
                <w:color w:val="000000"/>
              </w:rPr>
              <w:t xml:space="preserve"> </w:t>
            </w:r>
            <w:r>
              <w:t>2917.32</w:t>
            </w:r>
            <w:r>
              <w:rPr>
                <w:rFonts w:hint="eastAsia"/>
              </w:rPr>
              <w:t>、</w:t>
            </w:r>
            <w:r>
              <w:t>2917.34</w:t>
            </w:r>
            <w:r>
              <w:rPr>
                <w:rFonts w:hint="eastAsia"/>
              </w:rPr>
              <w:t>、</w:t>
            </w:r>
            <w:r>
              <w:t>291732</w:t>
            </w:r>
            <w:r>
              <w:rPr>
                <w:rFonts w:hint="eastAsia"/>
              </w:rPr>
              <w:t>、</w:t>
            </w:r>
            <w:r>
              <w:t>291734</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5.</w:t>
            </w:r>
          </w:p>
        </w:tc>
        <w:tc>
          <w:tcPr>
            <w:tcW w:w="8361" w:type="dxa"/>
            <w:gridSpan w:val="3"/>
            <w:tcBorders>
              <w:top w:val="single" w:color="auto" w:sz="4" w:space="0"/>
              <w:bottom w:val="single" w:color="auto" w:sz="4" w:space="0"/>
            </w:tcBorders>
            <w:vAlign w:val="top"/>
          </w:tcPr>
          <w:p>
            <w:pPr>
              <w:spacing w:before="120" w:after="120"/>
              <w:rPr>
                <w:rFonts w:hint="eastAsia"/>
                <w:b/>
              </w:rPr>
            </w:pPr>
            <w:r>
              <w:rPr>
                <w:rFonts w:hint="eastAsia"/>
                <w:b/>
              </w:rPr>
              <w:t>通报文件的标题</w:t>
            </w:r>
            <w:r>
              <w:rPr>
                <w:b/>
              </w:rPr>
              <w:t xml:space="preserve">, </w:t>
            </w:r>
            <w:r>
              <w:rPr>
                <w:rFonts w:hint="eastAsia"/>
                <w:b/>
              </w:rPr>
              <w:t>页数和使用语言</w:t>
            </w:r>
            <w:r>
              <w:rPr>
                <w:b/>
              </w:rPr>
              <w:t>:</w:t>
            </w:r>
            <w:r>
              <w:rPr>
                <w:rFonts w:hint="eastAsia"/>
              </w:rPr>
              <w:t xml:space="preserve"> 欧盟委员会决议草案，确定邻苯二甲酸二(2-乙基己)酯 (DEHP)、邻苯二甲酸二丁酯（DBP）、邻苯二甲酸丁苄酯(BBP)、邻苯二甲酸二异丁酯 (DIBP)为极高关注物质，依照洲议会和理事会法规</w:t>
            </w:r>
            <w:r>
              <w:rPr>
                <w:spacing w:val="-2"/>
              </w:rPr>
              <w:t xml:space="preserve"> (EC) No 1907/2006</w:t>
            </w:r>
            <w:r>
              <w:rPr>
                <w:rFonts w:hint="eastAsia"/>
              </w:rPr>
              <w:t>第</w:t>
            </w:r>
            <w:r>
              <w:rPr>
                <w:spacing w:val="-2"/>
              </w:rPr>
              <w:t>57(f)</w:t>
            </w:r>
            <w:r>
              <w:rPr>
                <w:rFonts w:hint="eastAsia"/>
              </w:rPr>
              <w:t>条（4页，英语）</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6.</w:t>
            </w:r>
          </w:p>
        </w:tc>
        <w:tc>
          <w:tcPr>
            <w:tcW w:w="8361" w:type="dxa"/>
            <w:gridSpan w:val="3"/>
            <w:tcBorders>
              <w:top w:val="single" w:color="auto" w:sz="4" w:space="0"/>
              <w:bottom w:val="single" w:color="auto" w:sz="4" w:space="0"/>
            </w:tcBorders>
            <w:vAlign w:val="top"/>
          </w:tcPr>
          <w:p>
            <w:pPr>
              <w:spacing w:before="120" w:beforeLines="50" w:after="120" w:afterLines="50"/>
              <w:ind w:left="110" w:hanging="110" w:hangingChars="50"/>
              <w:rPr>
                <w:rFonts w:hint="eastAsia"/>
                <w:spacing w:val="-2"/>
                <w:szCs w:val="22"/>
              </w:rPr>
            </w:pPr>
            <w:r>
              <w:rPr>
                <w:rFonts w:hint="eastAsia"/>
                <w:b/>
              </w:rPr>
              <w:t>内容简述</w:t>
            </w:r>
            <w:r>
              <w:rPr>
                <w:b/>
              </w:rPr>
              <w:t>:</w:t>
            </w:r>
            <w:r>
              <w:rPr>
                <w:rFonts w:hint="eastAsia"/>
                <w:b/>
              </w:rPr>
              <w:t xml:space="preserve"> </w:t>
            </w:r>
            <w:r>
              <w:rPr>
                <w:rFonts w:hint="eastAsia"/>
              </w:rPr>
              <w:t>本欧盟委员会决议草案旨在确定</w:t>
            </w:r>
            <w:r>
              <w:t>DEHP</w:t>
            </w:r>
            <w:r>
              <w:rPr>
                <w:rFonts w:hint="eastAsia"/>
              </w:rPr>
              <w:t>、</w:t>
            </w:r>
            <w:r>
              <w:t>DBP</w:t>
            </w:r>
            <w:r>
              <w:rPr>
                <w:rFonts w:hint="eastAsia"/>
              </w:rPr>
              <w:t>、</w:t>
            </w:r>
            <w:r>
              <w:t xml:space="preserve">DDP </w:t>
            </w:r>
            <w:r>
              <w:rPr>
                <w:rFonts w:hint="eastAsia"/>
              </w:rPr>
              <w:t>和</w:t>
            </w:r>
            <w:r>
              <w:t xml:space="preserve"> DIBP</w:t>
            </w:r>
            <w:r>
              <w:rPr>
                <w:rFonts w:hint="eastAsia"/>
              </w:rPr>
              <w:t>为影响人类健康的内分泌干扰物质，依照法规</w:t>
            </w:r>
            <w:r>
              <w:rPr>
                <w:spacing w:val="-2"/>
              </w:rPr>
              <w:t xml:space="preserve"> (EC) No 1907/2006</w:t>
            </w:r>
            <w:r>
              <w:rPr>
                <w:rFonts w:hint="eastAsia"/>
                <w:spacing w:val="-2"/>
              </w:rPr>
              <w:t>（</w:t>
            </w:r>
            <w:r>
              <w:t>REACH</w:t>
            </w:r>
            <w:r>
              <w:rPr>
                <w:rFonts w:hint="eastAsia"/>
                <w:spacing w:val="-2"/>
              </w:rPr>
              <w:t>）</w:t>
            </w:r>
            <w:r>
              <w:rPr>
                <w:rFonts w:hint="eastAsia"/>
              </w:rPr>
              <w:t>第</w:t>
            </w:r>
            <w:r>
              <w:rPr>
                <w:spacing w:val="-2"/>
              </w:rPr>
              <w:t>57(f)</w:t>
            </w:r>
            <w:r>
              <w:rPr>
                <w:rFonts w:hint="eastAsia"/>
              </w:rPr>
              <w:t>条提高至同等关注水平。</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7.</w:t>
            </w:r>
          </w:p>
        </w:tc>
        <w:tc>
          <w:tcPr>
            <w:tcW w:w="8361" w:type="dxa"/>
            <w:gridSpan w:val="3"/>
            <w:tcBorders>
              <w:top w:val="single" w:color="auto" w:sz="4" w:space="0"/>
              <w:bottom w:val="single" w:color="auto" w:sz="4" w:space="0"/>
            </w:tcBorders>
            <w:vAlign w:val="top"/>
          </w:tcPr>
          <w:p>
            <w:pPr>
              <w:spacing w:before="120" w:beforeLines="50" w:after="120" w:afterLines="50"/>
              <w:ind w:left="110" w:hanging="110" w:hangingChars="50"/>
              <w:rPr>
                <w:rFonts w:hint="eastAsia"/>
                <w:bCs/>
                <w:spacing w:val="-2"/>
                <w:szCs w:val="22"/>
              </w:rPr>
            </w:pPr>
            <w:r>
              <w:rPr>
                <w:rFonts w:hint="eastAsia"/>
                <w:b/>
              </w:rPr>
              <w:t>目标和理由</w:t>
            </w:r>
            <w:r>
              <w:rPr>
                <w:b/>
              </w:rPr>
              <w:t xml:space="preserve">, </w:t>
            </w:r>
            <w:r>
              <w:rPr>
                <w:rFonts w:hint="eastAsia"/>
                <w:b/>
              </w:rPr>
              <w:t>如是紧急措施，说明紧急问题的性质</w:t>
            </w:r>
            <w:r>
              <w:rPr>
                <w:b/>
              </w:rPr>
              <w:t>:</w:t>
            </w:r>
            <w:r>
              <w:rPr>
                <w:rFonts w:hint="eastAsia"/>
                <w:bCs/>
                <w:spacing w:val="-2"/>
                <w:szCs w:val="22"/>
              </w:rPr>
              <w:t>这4种物质已经依照</w:t>
            </w:r>
            <w:r>
              <w:rPr>
                <w:rFonts w:hint="eastAsia"/>
              </w:rPr>
              <w:t>法规</w:t>
            </w:r>
            <w:r>
              <w:t>(EC) No 1272/2008</w:t>
            </w:r>
            <w:r>
              <w:rPr>
                <w:rFonts w:hint="eastAsia"/>
              </w:rPr>
              <w:t>被</w:t>
            </w:r>
            <w:r>
              <w:rPr>
                <w:rFonts w:hint="eastAsia"/>
                <w:bCs/>
                <w:spacing w:val="-2"/>
                <w:szCs w:val="22"/>
              </w:rPr>
              <w:t>分类为毒害生殖物质（1B）</w:t>
            </w:r>
            <w:r>
              <w:rPr>
                <w:rFonts w:hint="eastAsia"/>
              </w:rPr>
              <w:t>，并且根据这些物质的危害性质，依照</w:t>
            </w:r>
            <w:r>
              <w:t>REACH</w:t>
            </w:r>
            <w:r>
              <w:rPr>
                <w:rFonts w:hint="eastAsia"/>
              </w:rPr>
              <w:t>法规第</w:t>
            </w:r>
            <w:r>
              <w:rPr>
                <w:spacing w:val="-2"/>
              </w:rPr>
              <w:t>57(f)</w:t>
            </w:r>
            <w:r>
              <w:rPr>
                <w:rFonts w:hint="eastAsia"/>
              </w:rPr>
              <w:t>条这些物质被确定为极高关注物质。决议草案还依照</w:t>
            </w:r>
            <w:r>
              <w:t>REACH</w:t>
            </w:r>
            <w:r>
              <w:rPr>
                <w:rFonts w:hint="eastAsia"/>
              </w:rPr>
              <w:t>法规第</w:t>
            </w:r>
            <w:r>
              <w:rPr>
                <w:spacing w:val="-2"/>
              </w:rPr>
              <w:t>57(f)</w:t>
            </w:r>
            <w:r>
              <w:rPr>
                <w:rFonts w:hint="eastAsia"/>
              </w:rPr>
              <w:t>提出确定这4种物质为影响人类健康的内分泌干扰物质，提高到与毒害生殖物质相同的关注水平，考虑到本措施导致的负面影响与这些物质分类为毒害生殖导致的影响相同这一实际情况。</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8.</w:t>
            </w:r>
          </w:p>
        </w:tc>
        <w:tc>
          <w:tcPr>
            <w:tcW w:w="8361" w:type="dxa"/>
            <w:gridSpan w:val="3"/>
            <w:tcBorders>
              <w:top w:val="single" w:color="auto" w:sz="4" w:space="0"/>
              <w:bottom w:val="single" w:color="auto" w:sz="4" w:space="0"/>
            </w:tcBorders>
            <w:vAlign w:val="top"/>
          </w:tcPr>
          <w:p>
            <w:pPr>
              <w:spacing w:before="120" w:beforeLines="50"/>
              <w:rPr>
                <w:rFonts w:hint="eastAsia"/>
              </w:rPr>
            </w:pPr>
            <w:r>
              <w:rPr>
                <w:rFonts w:hint="eastAsia"/>
                <w:b/>
              </w:rPr>
              <w:t>相关文件</w:t>
            </w:r>
            <w:r>
              <w:rPr>
                <w:b/>
              </w:rPr>
              <w:t>:</w:t>
            </w:r>
            <w:r>
              <w:rPr>
                <w:rFonts w:hint="eastAsia"/>
                <w:b/>
              </w:rPr>
              <w:t xml:space="preserve"> </w:t>
            </w:r>
            <w:r>
              <w:rPr>
                <w:rFonts w:hint="eastAsia"/>
              </w:rPr>
              <w:t>欧洲议会和理事会关于化学品注册、评估、授权和限制的法规</w:t>
            </w:r>
            <w:r>
              <w:rPr>
                <w:spacing w:val="-2"/>
              </w:rPr>
              <w:t xml:space="preserve"> (EC) No 1907/2006</w:t>
            </w:r>
            <w:r>
              <w:rPr>
                <w:rFonts w:hint="eastAsia"/>
              </w:rPr>
              <w:t>（</w:t>
            </w:r>
            <w:r>
              <w:t>REACH</w:t>
            </w:r>
            <w:r>
              <w:rPr>
                <w:rFonts w:hint="eastAsia"/>
              </w:rPr>
              <w:t>）（</w:t>
            </w:r>
            <w:r>
              <w:t>OJ L 396, 30.12.2006, p. 1</w:t>
            </w:r>
            <w:r>
              <w:rPr>
                <w:rFonts w:hint="eastAsia"/>
              </w:rPr>
              <w:t>）。经2013年5月13日法规</w:t>
            </w:r>
            <w:r>
              <w:t xml:space="preserve">(EU) No 517/2013 </w:t>
            </w:r>
            <w:r>
              <w:rPr>
                <w:rFonts w:hint="eastAsia"/>
              </w:rPr>
              <w:t>最新修订的法规（</w:t>
            </w:r>
            <w:r>
              <w:t>OJ L 158, 10.06.2013, p. 1</w:t>
            </w:r>
            <w:r>
              <w:rPr>
                <w:rFonts w:hint="eastAsia"/>
              </w:rPr>
              <w:t>）。</w:t>
            </w:r>
          </w:p>
          <w:p>
            <w:pPr>
              <w:rPr>
                <w:rFonts w:hint="eastAsia"/>
              </w:rPr>
            </w:pPr>
            <w:r>
              <w:rPr>
                <w:rFonts w:hint="eastAsia"/>
              </w:rPr>
              <w:t>2014年12月11日欧洲化学品管理局成员国委员会的意见：</w:t>
            </w:r>
          </w:p>
          <w:p>
            <w:pPr>
              <w:spacing w:after="120" w:afterLines="50"/>
              <w:rPr>
                <w:rFonts w:hint="eastAsia"/>
              </w:rPr>
            </w:pPr>
            <w:r>
              <w:t>http://echa.europa.eu/role-of-the-member-state-committee-in-the-authorisation-process/svhc-opinions-of-the-member-state-committee</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9.</w:t>
            </w:r>
          </w:p>
        </w:tc>
        <w:tc>
          <w:tcPr>
            <w:tcW w:w="4253" w:type="dxa"/>
            <w:tcBorders>
              <w:top w:val="single" w:color="auto" w:sz="4" w:space="0"/>
              <w:bottom w:val="single" w:color="auto" w:sz="4" w:space="0"/>
            </w:tcBorders>
            <w:vAlign w:val="top"/>
          </w:tcPr>
          <w:p>
            <w:pPr>
              <w:spacing w:before="120"/>
              <w:jc w:val="left"/>
              <w:rPr>
                <w:rFonts w:hint="eastAsia"/>
                <w:b/>
              </w:rPr>
            </w:pPr>
            <w:r>
              <w:rPr>
                <w:rFonts w:hint="eastAsia"/>
                <w:b/>
              </w:rPr>
              <w:t>拟批准日期</w:t>
            </w:r>
            <w:r>
              <w:rPr>
                <w:b/>
              </w:rPr>
              <w:t xml:space="preserve">:  </w:t>
            </w:r>
          </w:p>
          <w:p>
            <w:pPr>
              <w:spacing w:after="120"/>
              <w:jc w:val="left"/>
              <w:rPr>
                <w:rFonts w:hint="eastAsia"/>
              </w:rPr>
            </w:pPr>
            <w:r>
              <w:rPr>
                <w:rFonts w:hint="eastAsia"/>
                <w:b/>
              </w:rPr>
              <w:t>拟生效日期</w:t>
            </w:r>
            <w:r>
              <w:rPr>
                <w:b/>
              </w:rPr>
              <w:t xml:space="preserve">: </w:t>
            </w:r>
            <w:r>
              <w:rPr>
                <w:rFonts w:hint="eastAsia"/>
                <w:b/>
              </w:rPr>
              <w:t xml:space="preserve"> </w:t>
            </w:r>
          </w:p>
        </w:tc>
        <w:tc>
          <w:tcPr>
            <w:tcW w:w="425" w:type="dxa"/>
            <w:tcBorders>
              <w:top w:val="single" w:color="auto" w:sz="4" w:space="0"/>
              <w:bottom w:val="single" w:color="auto" w:sz="4" w:space="0"/>
            </w:tcBorders>
            <w:vAlign w:val="top"/>
          </w:tcPr>
          <w:p>
            <w:pPr>
              <w:spacing w:before="120"/>
              <w:rPr>
                <w:rFonts w:hint="eastAsia"/>
                <w:sz w:val="40"/>
              </w:rPr>
            </w:pPr>
          </w:p>
        </w:tc>
        <w:tc>
          <w:tcPr>
            <w:tcW w:w="3683" w:type="dxa"/>
            <w:tcBorders>
              <w:top w:val="single" w:color="auto" w:sz="4" w:space="0"/>
              <w:bottom w:val="single" w:color="auto" w:sz="4" w:space="0"/>
            </w:tcBorders>
            <w:vAlign w:val="center"/>
          </w:tcPr>
          <w:p>
            <w:pPr>
              <w:spacing w:before="120"/>
              <w:rPr>
                <w:rFonts w:hint="eastAsia"/>
              </w:rPr>
            </w:pPr>
            <w:r>
              <w:rPr>
                <w:spacing w:val="-2"/>
                <w:szCs w:val="22"/>
              </w:rPr>
              <w:t>201</w:t>
            </w:r>
            <w:r>
              <w:rPr>
                <w:rFonts w:hint="eastAsia"/>
                <w:spacing w:val="-2"/>
                <w:szCs w:val="22"/>
              </w:rPr>
              <w:t>6年3月</w:t>
            </w:r>
          </w:p>
          <w:p>
            <w:pPr>
              <w:spacing w:after="120" w:afterLines="50"/>
              <w:rPr>
                <w:rFonts w:hint="eastAsia"/>
                <w:spacing w:val="-2"/>
                <w:szCs w:val="22"/>
              </w:rPr>
            </w:pPr>
            <w:r>
              <w:rPr>
                <w:rFonts w:hint="eastAsia"/>
                <w:spacing w:val="-2"/>
                <w:szCs w:val="22"/>
              </w:rPr>
              <w:t>在欧盟官方公报上公布之后3天</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10.</w:t>
            </w:r>
          </w:p>
        </w:tc>
        <w:tc>
          <w:tcPr>
            <w:tcW w:w="8361" w:type="dxa"/>
            <w:gridSpan w:val="3"/>
            <w:tcBorders>
              <w:top w:val="single" w:color="auto" w:sz="4" w:space="0"/>
              <w:bottom w:val="single" w:color="auto" w:sz="4" w:space="0"/>
            </w:tcBorders>
            <w:vAlign w:val="top"/>
          </w:tcPr>
          <w:p>
            <w:pPr>
              <w:spacing w:before="120" w:after="120"/>
              <w:rPr>
                <w:rFonts w:hint="eastAsia"/>
              </w:rPr>
            </w:pPr>
            <w:r>
              <w:rPr>
                <w:rFonts w:hint="eastAsia"/>
                <w:b/>
              </w:rPr>
              <w:t>提意见截止日期</w:t>
            </w:r>
            <w:r>
              <w:rPr>
                <w:b/>
              </w:rPr>
              <w:t>:</w:t>
            </w:r>
            <w:r>
              <w:t xml:space="preserve"> </w:t>
            </w:r>
            <w:r>
              <w:rPr>
                <w:rFonts w:hint="eastAsia"/>
              </w:rPr>
              <w:t>通报之后60天</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double" w:color="auto" w:sz="4" w:space="0"/>
            </w:tcBorders>
            <w:vAlign w:val="top"/>
          </w:tcPr>
          <w:p>
            <w:pPr>
              <w:spacing w:before="120"/>
              <w:rPr>
                <w:b/>
              </w:rPr>
            </w:pPr>
            <w:r>
              <w:rPr>
                <w:b/>
              </w:rPr>
              <w:t>11.</w:t>
            </w:r>
          </w:p>
        </w:tc>
        <w:tc>
          <w:tcPr>
            <w:tcW w:w="8361" w:type="dxa"/>
            <w:gridSpan w:val="3"/>
            <w:tcBorders>
              <w:top w:val="single" w:color="auto" w:sz="4" w:space="0"/>
              <w:bottom w:val="double" w:color="auto" w:sz="4" w:space="0"/>
            </w:tcBorders>
            <w:vAlign w:val="top"/>
          </w:tcPr>
          <w:p>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pPr>
        <w:tabs>
          <w:tab w:val="clear" w:pos="720"/>
        </w:tabs>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G Times">
    <w:altName w:val="Times New Roman"/>
    <w:panose1 w:val="02020603050405020304"/>
    <w:charset w:val="00"/>
    <w:family w:val="modern"/>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81F2F"/>
    <w:rsid w:val="28081F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720"/>
      </w:tabs>
      <w:jc w:val="both"/>
    </w:pPr>
    <w:rPr>
      <w:sz w:val="22"/>
      <w:szCs w:val="22"/>
      <w:lang w:val="en-GB"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a heading"/>
    <w:basedOn w:val="1"/>
    <w:next w:val="1"/>
    <w:uiPriority w:val="0"/>
    <w:rPr>
      <w:b/>
    </w:rPr>
  </w:style>
  <w:style w:type="paragraph" w:styleId="3">
    <w:name w:val="header"/>
    <w:basedOn w:val="1"/>
    <w:uiPriority w:val="0"/>
    <w:pPr>
      <w:tabs>
        <w:tab w:val="center" w:pos="4513"/>
        <w:tab w:val="right" w:pos="9027"/>
        <w:tab w:val="clear" w:pos="720"/>
      </w:tabs>
      <w:jc w:val="left"/>
    </w:pPr>
  </w:style>
  <w:style w:type="paragraph" w:styleId="4">
    <w:name w:val="Title"/>
    <w:basedOn w:val="1"/>
    <w:qFormat/>
    <w:uiPriority w:val="0"/>
    <w:pPr>
      <w:jc w:val="center"/>
    </w:pPr>
    <w:rPr>
      <w:b/>
      <w:caps/>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2016-01-04T07:55:00Z</dcterms:created>
  <dc:creator>gly</dc:creator>
  <cp:lastModifiedBy>gly</cp:lastModifiedBy>
  <dcterms:modified xsi:type="dcterms:W3CDTF">2016-01-04T07:56:41Z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