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3"/>
        <w:gridCol w:w="2629"/>
      </w:tblGrid>
      <w:tr>
        <w:tblPrEx>
          <w:tblLayout w:type="fixed"/>
        </w:tblPrEx>
        <w:trPr>
          <w:cantSplit/>
        </w:trPr>
        <w:tc>
          <w:tcPr>
            <w:tcW w:w="6443" w:type="dxa"/>
            <w:vMerge w:val="restart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 xml:space="preserve"> 世界贸易组织</w:t>
            </w:r>
          </w:p>
          <w:p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u w:val="single"/>
              </w:rPr>
            </w:pPr>
          </w:p>
        </w:tc>
      </w:tr>
      <w:tr>
        <w:tblPrEx>
          <w:tblLayout w:type="fixed"/>
        </w:tblPrEx>
        <w:trPr>
          <w:cantSplit/>
          <w:trHeight w:val="120" w:hRule="exact"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G/TBT/N/EU/</w:t>
            </w:r>
            <w:r>
              <w:rPr>
                <w:rFonts w:hint="eastAsia"/>
                <w:b/>
              </w:rPr>
              <w:t>324</w:t>
            </w:r>
          </w:p>
          <w:p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5年11月18日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2629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-6097)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6443" w:type="dxa"/>
            <w:vAlign w:val="top"/>
          </w:tcPr>
          <w:p>
            <w:pPr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  <w:vAlign w:val="top"/>
          </w:tcPr>
          <w:p>
            <w:pPr>
              <w:pStyle w:val="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/>
    <w:p>
      <w:pPr>
        <w:pStyle w:val="4"/>
        <w:rPr>
          <w:rFonts w:hint="eastAsia"/>
          <w:sz w:val="30"/>
        </w:rPr>
      </w:pPr>
      <w:r>
        <w:rPr>
          <w:rFonts w:hint="eastAsia"/>
          <w:sz w:val="30"/>
        </w:rPr>
        <w:t>通             报</w:t>
      </w:r>
    </w:p>
    <w:p/>
    <w:p>
      <w:pPr>
        <w:jc w:val="center"/>
      </w:pPr>
      <w:r>
        <w:rPr>
          <w:rFonts w:hint="eastAsia"/>
        </w:rPr>
        <w:t>以下通报根据TBT协定第</w:t>
      </w:r>
      <w:r>
        <w:t>10.6</w:t>
      </w:r>
      <w:r>
        <w:rPr>
          <w:rFonts w:hint="eastAsia"/>
        </w:rPr>
        <w:t xml:space="preserve"> 条分发</w:t>
      </w:r>
    </w:p>
    <w:p>
      <w:pPr>
        <w:jc w:val="center"/>
      </w:pPr>
    </w:p>
    <w:tbl>
      <w:tblPr>
        <w:tblStyle w:val="6"/>
        <w:tblW w:w="9070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827"/>
        <w:gridCol w:w="567"/>
        <w:gridCol w:w="39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709" w:type="dxa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欧盟</w:t>
            </w:r>
          </w:p>
          <w:p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条)：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欧盟委员会</w:t>
            </w:r>
            <w:r>
              <w:rPr>
                <w:b w:val="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[X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     </w:t>
            </w:r>
            <w: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生物农药产品</w:t>
            </w:r>
          </w:p>
          <w:p>
            <w:pPr>
              <w:spacing w:after="120" w:afterLines="5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hint="eastAsia" w:ascii="CG Times" w:hAnsi="CG Times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欧盟委员会法规实施细则草案，</w:t>
            </w:r>
            <w:r>
              <w:rPr>
                <w:rFonts w:hint="eastAsia"/>
                <w:spacing w:val="-2"/>
              </w:rPr>
              <w:t>修订</w:t>
            </w:r>
            <w:r>
              <w:rPr>
                <w:rFonts w:hint="eastAsia"/>
              </w:rPr>
              <w:t>法规实施细则</w:t>
            </w:r>
            <w:r>
              <w:rPr>
                <w:spacing w:val="-2"/>
              </w:rPr>
              <w:t>(EU) No 414/2013</w:t>
            </w:r>
            <w:r>
              <w:rPr>
                <w:rFonts w:hint="eastAsia"/>
              </w:rPr>
              <w:t>依照欧洲议会和理事会法规</w:t>
            </w:r>
            <w:r>
              <w:rPr>
                <w:spacing w:val="-2"/>
              </w:rPr>
              <w:t>(EU) No 528/2012</w:t>
            </w:r>
            <w:r>
              <w:rPr>
                <w:rFonts w:hint="eastAsia"/>
              </w:rPr>
              <w:t>规定相同生物农药产品授权程序（5页，英语）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 w:afterLines="50"/>
              <w:ind w:left="110" w:hanging="110" w:hangingChars="5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本欧盟委员会法规实施细则</w:t>
            </w:r>
            <w:r>
              <w:t>(EU) No 414/2013</w:t>
            </w:r>
            <w:r>
              <w:rPr>
                <w:rFonts w:hint="eastAsia"/>
              </w:rPr>
              <w:t>规定了批准各方面都相同（相同性质）的生物农药产品的不同授权（如不同的授权持有人）的简化程序，除某些行政细节以外。通报的欧盟委员会法规实施细则草案提出修改授权程序，旨在进一步简化程序及更好地回应潜在申请人的需求，特别是，中小企业（SMEs）申请人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 w:afterLines="50"/>
              <w:ind w:left="110" w:hanging="110" w:hangingChars="5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>
              <w:rPr>
                <w:rFonts w:hint="eastAsia"/>
              </w:rPr>
              <w:t>生物农药产品市场。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·</w:t>
            </w:r>
            <w:r>
              <w:rPr>
                <w:rFonts w:hint="eastAsia"/>
                <w:bCs/>
                <w:spacing w:val="-2"/>
                <w:szCs w:val="22"/>
              </w:rPr>
              <w:t>2012年5月22日</w:t>
            </w:r>
            <w:r>
              <w:rPr>
                <w:rFonts w:hint="eastAsia"/>
              </w:rPr>
              <w:t>欧洲议会和理事会关于生物农药产品上市和使用的法规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>
            <w:pPr>
              <w:rPr>
                <w:rFonts w:hint="eastAsia"/>
              </w:rPr>
            </w:pPr>
            <w:r>
              <w:t>http://eur-lex.europa.eu/legal-content/EN/TXT/?qid=1426693289783&amp;uri=CELEX:32012R0528</w:t>
            </w:r>
          </w:p>
          <w:p>
            <w:pPr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</w:rPr>
              <w:t>·2013年5月6日欧盟委员会法规(EU) No 414/2013，依照欧洲议会和理事会法规(EU) No 528/2012，规定相同生物农药产品授权程序</w:t>
            </w:r>
            <w:r>
              <w:t>(OJ L 125, 7.5.2013, p. 4.)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2"/>
              </w:rPr>
              <w:t>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>
            <w:pPr>
              <w:spacing w:after="120"/>
              <w:rPr>
                <w:rFonts w:hint="eastAsia"/>
              </w:rPr>
            </w:pPr>
            <w:r>
              <w:t>http://eur-lex.europa.eu/legal-content/EN/TXT/?qid=1443794578428&amp;uri=CELEX:32013R0414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39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/>
              </w:rPr>
            </w:pPr>
            <w:r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6年4月</w:t>
            </w:r>
          </w:p>
          <w:p>
            <w:pPr>
              <w:spacing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在欧盟官方公报上公布之后20天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通报之后60天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>
      <w:pPr>
        <w:tabs>
          <w:tab w:val="clear" w:pos="720"/>
        </w:tabs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B7B32"/>
    <w:rsid w:val="21EB7B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720"/>
      </w:tabs>
      <w:jc w:val="both"/>
    </w:pPr>
    <w:rPr>
      <w:sz w:val="22"/>
      <w:szCs w:val="22"/>
      <w:lang w:val="en-GB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rPr>
      <w:b/>
    </w:rPr>
  </w:style>
  <w:style w:type="paragraph" w:styleId="3">
    <w:name w:val="header"/>
    <w:basedOn w:val="1"/>
    <w:uiPriority w:val="0"/>
    <w:pPr>
      <w:tabs>
        <w:tab w:val="center" w:pos="4513"/>
        <w:tab w:val="right" w:pos="9027"/>
        <w:tab w:val="clear" w:pos="720"/>
      </w:tabs>
      <w:jc w:val="left"/>
    </w:pPr>
  </w:style>
  <w:style w:type="paragraph" w:styleId="4">
    <w:name w:val="Title"/>
    <w:basedOn w:val="1"/>
    <w:qFormat/>
    <w:uiPriority w:val="0"/>
    <w:pPr>
      <w:jc w:val="center"/>
    </w:pPr>
    <w:rPr>
      <w:b/>
      <w:caps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2015-12-21T07:33:00Z</dcterms:created>
  <dc:creator>gly</dc:creator>
  <cp:lastModifiedBy>gly</cp:lastModifiedBy>
  <dcterms:modified xsi:type="dcterms:W3CDTF">2015-12-21T07:33:22Z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