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8"/>
        <w:tblW w:w="9072" w:type="dxa"/>
        <w:tblInd w:w="108" w:type="dxa"/>
        <w:tblLayout w:type="fixed"/>
        <w:tblCellMar>
          <w:top w:w="0" w:type="dxa"/>
          <w:left w:w="108" w:type="dxa"/>
          <w:bottom w:w="0" w:type="dxa"/>
          <w:right w:w="108" w:type="dxa"/>
        </w:tblCellMar>
      </w:tblPr>
      <w:tblGrid>
        <w:gridCol w:w="6443"/>
        <w:gridCol w:w="2629"/>
      </w:tblGrid>
      <w:tr>
        <w:tblPrEx>
          <w:tblLayout w:type="fixed"/>
          <w:tblCellMar>
            <w:top w:w="0" w:type="dxa"/>
            <w:left w:w="108" w:type="dxa"/>
            <w:bottom w:w="0" w:type="dxa"/>
            <w:right w:w="108" w:type="dxa"/>
          </w:tblCellMar>
        </w:tblPrEx>
        <w:trPr>
          <w:cantSplit/>
        </w:trPr>
        <w:tc>
          <w:tcPr>
            <w:tcW w:w="6443" w:type="dxa"/>
            <w:vMerge w:val="restart"/>
            <w:vAlign w:val="top"/>
          </w:tcPr>
          <w:p>
            <w:pPr>
              <w:spacing w:line="360" w:lineRule="auto"/>
              <w:jc w:val="left"/>
              <w:rPr>
                <w:rFonts w:hint="eastAsia"/>
                <w:b/>
                <w:smallCaps/>
                <w:sz w:val="44"/>
              </w:rPr>
            </w:pPr>
            <w:r>
              <w:rPr>
                <w:rFonts w:hint="eastAsia"/>
                <w:b/>
                <w:smallCaps/>
                <w:sz w:val="44"/>
              </w:rPr>
              <w:t>世界贸易组织</w:t>
            </w:r>
          </w:p>
          <w:p>
            <w:pPr>
              <w:jc w:val="left"/>
              <w:rPr>
                <w:b/>
                <w:smallCaps/>
                <w:sz w:val="18"/>
              </w:rPr>
            </w:pPr>
          </w:p>
        </w:tc>
        <w:tc>
          <w:tcPr>
            <w:tcW w:w="2629" w:type="dxa"/>
            <w:vAlign w:val="top"/>
          </w:tcPr>
          <w:p>
            <w:pPr>
              <w:jc w:val="left"/>
              <w:rPr>
                <w:u w:val="single"/>
              </w:rPr>
            </w:pPr>
          </w:p>
        </w:tc>
      </w:tr>
      <w:tr>
        <w:tblPrEx>
          <w:tblLayout w:type="fixed"/>
          <w:tblCellMar>
            <w:top w:w="0" w:type="dxa"/>
            <w:left w:w="108" w:type="dxa"/>
            <w:bottom w:w="0" w:type="dxa"/>
            <w:right w:w="108" w:type="dxa"/>
          </w:tblCellMar>
        </w:tblPrEx>
        <w:trPr>
          <w:cantSplit/>
          <w:trHeight w:val="120" w:hRule="exact"/>
        </w:trPr>
        <w:tc>
          <w:tcPr>
            <w:tcW w:w="6443" w:type="dxa"/>
            <w:vMerge w:val="continue"/>
            <w:vAlign w:val="top"/>
          </w:tcPr>
          <w:p>
            <w:pPr>
              <w:spacing w:before="240" w:line="380" w:lineRule="exact"/>
              <w:jc w:val="left"/>
            </w:pPr>
          </w:p>
        </w:tc>
        <w:tc>
          <w:tcPr>
            <w:tcW w:w="2629" w:type="dxa"/>
            <w:vAlign w:val="top"/>
          </w:tcPr>
          <w:p>
            <w:pPr>
              <w:jc w:val="left"/>
            </w:pPr>
          </w:p>
        </w:tc>
      </w:tr>
      <w:tr>
        <w:tblPrEx>
          <w:tblLayout w:type="fixed"/>
          <w:tblCellMar>
            <w:top w:w="0" w:type="dxa"/>
            <w:left w:w="108" w:type="dxa"/>
            <w:bottom w:w="0" w:type="dxa"/>
            <w:right w:w="108" w:type="dxa"/>
          </w:tblCellMar>
        </w:tblPrEx>
        <w:trPr>
          <w:cantSplit/>
        </w:trPr>
        <w:tc>
          <w:tcPr>
            <w:tcW w:w="6443" w:type="dxa"/>
            <w:vMerge w:val="continue"/>
            <w:vAlign w:val="top"/>
          </w:tcPr>
          <w:p>
            <w:pPr>
              <w:spacing w:before="240" w:line="380" w:lineRule="exact"/>
              <w:jc w:val="left"/>
              <w:rPr>
                <w:smallCaps/>
                <w:sz w:val="44"/>
              </w:rPr>
            </w:pPr>
          </w:p>
        </w:tc>
        <w:tc>
          <w:tcPr>
            <w:tcW w:w="2629" w:type="dxa"/>
            <w:vAlign w:val="top"/>
          </w:tcPr>
          <w:p>
            <w:pPr>
              <w:jc w:val="left"/>
              <w:rPr>
                <w:rFonts w:hint="eastAsia"/>
                <w:b/>
              </w:rPr>
            </w:pPr>
            <w:r>
              <w:rPr>
                <w:b/>
              </w:rPr>
              <w:t>G/TBT/N/JPN/</w:t>
            </w:r>
            <w:r>
              <w:rPr>
                <w:rFonts w:hint="eastAsia"/>
                <w:b/>
              </w:rPr>
              <w:t>506</w:t>
            </w:r>
          </w:p>
          <w:p>
            <w:pPr>
              <w:jc w:val="left"/>
              <w:rPr>
                <w:rFonts w:hint="eastAsia"/>
              </w:rPr>
            </w:pPr>
            <w:r>
              <w:t>201</w:t>
            </w:r>
            <w:r>
              <w:rPr>
                <w:rFonts w:hint="eastAsia"/>
              </w:rPr>
              <w:t>5年11月27日</w:t>
            </w:r>
          </w:p>
        </w:tc>
      </w:tr>
      <w:tr>
        <w:tblPrEx>
          <w:tblLayout w:type="fixed"/>
          <w:tblCellMar>
            <w:top w:w="0" w:type="dxa"/>
            <w:left w:w="108" w:type="dxa"/>
            <w:bottom w:w="0" w:type="dxa"/>
            <w:right w:w="108" w:type="dxa"/>
          </w:tblCellMar>
        </w:tblPrEx>
        <w:tc>
          <w:tcPr>
            <w:tcW w:w="6443" w:type="dxa"/>
            <w:tcBorders>
              <w:bottom w:val="single" w:color="auto" w:sz="4" w:space="0"/>
            </w:tcBorders>
            <w:vAlign w:val="top"/>
          </w:tcPr>
          <w:p>
            <w:pPr>
              <w:jc w:val="left"/>
            </w:pPr>
          </w:p>
        </w:tc>
        <w:tc>
          <w:tcPr>
            <w:tcW w:w="2629" w:type="dxa"/>
            <w:tcBorders>
              <w:bottom w:val="single" w:color="auto" w:sz="4" w:space="0"/>
            </w:tcBorders>
            <w:vAlign w:val="top"/>
          </w:tcPr>
          <w:p>
            <w:pPr>
              <w:jc w:val="left"/>
              <w:rPr>
                <w:sz w:val="18"/>
              </w:rPr>
            </w:pPr>
            <w:r>
              <w:rPr>
                <w:sz w:val="18"/>
                <w:szCs w:val="18"/>
              </w:rPr>
              <w:t>(</w:t>
            </w:r>
            <w:bookmarkStart w:id="0" w:name="spsSerialNumber"/>
            <w:r>
              <w:rPr>
                <w:sz w:val="18"/>
                <w:szCs w:val="18"/>
              </w:rPr>
              <w:t>1</w:t>
            </w:r>
            <w:r>
              <w:rPr>
                <w:rFonts w:hint="eastAsia"/>
                <w:sz w:val="18"/>
                <w:szCs w:val="18"/>
              </w:rPr>
              <w:t>5</w:t>
            </w:r>
            <w:r>
              <w:rPr>
                <w:sz w:val="18"/>
                <w:szCs w:val="18"/>
              </w:rPr>
              <w:t>-6277</w:t>
            </w:r>
            <w:bookmarkEnd w:id="0"/>
            <w:r>
              <w:rPr>
                <w:sz w:val="18"/>
                <w:szCs w:val="18"/>
              </w:rPr>
              <w:t>)</w:t>
            </w:r>
          </w:p>
        </w:tc>
      </w:tr>
      <w:tr>
        <w:tblPrEx>
          <w:tblLayout w:type="fixed"/>
          <w:tblCellMar>
            <w:top w:w="0" w:type="dxa"/>
            <w:left w:w="108" w:type="dxa"/>
            <w:bottom w:w="0" w:type="dxa"/>
            <w:right w:w="108" w:type="dxa"/>
          </w:tblCellMar>
        </w:tblPrEx>
        <w:trPr>
          <w:trHeight w:val="160" w:hRule="exact"/>
        </w:trPr>
        <w:tc>
          <w:tcPr>
            <w:tcW w:w="6443" w:type="dxa"/>
            <w:vAlign w:val="top"/>
          </w:tcPr>
          <w:p>
            <w:pPr>
              <w:jc w:val="left"/>
            </w:pPr>
          </w:p>
        </w:tc>
        <w:tc>
          <w:tcPr>
            <w:tcW w:w="2629" w:type="dxa"/>
            <w:vAlign w:val="top"/>
          </w:tcPr>
          <w:p>
            <w:pPr>
              <w:jc w:val="left"/>
            </w:pPr>
          </w:p>
        </w:tc>
      </w:tr>
      <w:tr>
        <w:tblPrEx>
          <w:tblLayout w:type="fixed"/>
          <w:tblCellMar>
            <w:top w:w="0" w:type="dxa"/>
            <w:left w:w="108" w:type="dxa"/>
            <w:bottom w:w="0" w:type="dxa"/>
            <w:right w:w="108" w:type="dxa"/>
          </w:tblCellMar>
        </w:tblPrEx>
        <w:tc>
          <w:tcPr>
            <w:tcW w:w="6443" w:type="dxa"/>
            <w:vAlign w:val="top"/>
          </w:tcPr>
          <w:p>
            <w:pPr>
              <w:jc w:val="left"/>
              <w:rPr>
                <w:rFonts w:hint="eastAsia"/>
                <w:b/>
              </w:rPr>
            </w:pPr>
            <w:r>
              <w:rPr>
                <w:rFonts w:hint="eastAsia"/>
                <w:b/>
              </w:rPr>
              <w:t>贸易技术壁垒委员会</w:t>
            </w:r>
          </w:p>
        </w:tc>
        <w:tc>
          <w:tcPr>
            <w:tcW w:w="2629" w:type="dxa"/>
            <w:vAlign w:val="top"/>
          </w:tcPr>
          <w:p>
            <w:pPr>
              <w:pStyle w:val="3"/>
              <w:tabs>
                <w:tab w:val="left" w:pos="962"/>
              </w:tabs>
              <w:rPr>
                <w:rFonts w:hint="eastAsia"/>
              </w:rPr>
            </w:pPr>
            <w:r>
              <w:rPr>
                <w:rFonts w:hint="eastAsia"/>
              </w:rPr>
              <w:t>原文：英语</w:t>
            </w:r>
          </w:p>
        </w:tc>
      </w:tr>
    </w:tbl>
    <w:p/>
    <w:p>
      <w:pPr>
        <w:pStyle w:val="6"/>
        <w:rPr>
          <w:rFonts w:hint="eastAsia"/>
          <w:sz w:val="30"/>
        </w:rPr>
      </w:pPr>
      <w:r>
        <w:rPr>
          <w:rFonts w:hint="eastAsia"/>
          <w:sz w:val="30"/>
        </w:rPr>
        <w:t>通             报</w:t>
      </w:r>
    </w:p>
    <w:p/>
    <w:p>
      <w:pPr>
        <w:jc w:val="center"/>
      </w:pPr>
      <w:r>
        <w:rPr>
          <w:rFonts w:hint="eastAsia"/>
        </w:rPr>
        <w:t>以下通报根据TBT协定第</w:t>
      </w:r>
      <w:r>
        <w:t>10.6</w:t>
      </w:r>
      <w:r>
        <w:rPr>
          <w:rFonts w:hint="eastAsia"/>
        </w:rPr>
        <w:t xml:space="preserve"> 条分发</w:t>
      </w:r>
    </w:p>
    <w:p>
      <w:pPr>
        <w:jc w:val="center"/>
      </w:pPr>
    </w:p>
    <w:tbl>
      <w:tblPr>
        <w:tblStyle w:val="8"/>
        <w:tblW w:w="9072" w:type="dxa"/>
        <w:tblInd w:w="108"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268"/>
        <w:gridCol w:w="425"/>
        <w:gridCol w:w="5670"/>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PrEx>
        <w:tc>
          <w:tcPr>
            <w:tcW w:w="709" w:type="dxa"/>
            <w:tcBorders>
              <w:top w:val="double" w:color="auto" w:sz="4" w:space="0"/>
              <w:bottom w:val="single" w:color="auto" w:sz="4" w:space="0"/>
            </w:tcBorders>
            <w:vAlign w:val="top"/>
          </w:tcPr>
          <w:p>
            <w:pPr>
              <w:spacing w:before="120"/>
              <w:rPr>
                <w:b/>
              </w:rPr>
            </w:pPr>
            <w:r>
              <w:rPr>
                <w:b/>
              </w:rPr>
              <w:t>1.</w:t>
            </w:r>
          </w:p>
        </w:tc>
        <w:tc>
          <w:tcPr>
            <w:tcW w:w="8363" w:type="dxa"/>
            <w:gridSpan w:val="3"/>
            <w:tcBorders>
              <w:top w:val="double" w:color="auto" w:sz="4" w:space="0"/>
              <w:bottom w:val="single" w:color="auto" w:sz="4" w:space="0"/>
            </w:tcBorders>
            <w:vAlign w:val="top"/>
          </w:tcPr>
          <w:p>
            <w:pPr>
              <w:spacing w:before="120" w:beforeLines="50" w:after="120"/>
              <w:rPr>
                <w:rFonts w:hint="eastAsia"/>
                <w:u w:val="single"/>
              </w:rPr>
            </w:pPr>
            <w:r>
              <w:rPr>
                <w:rFonts w:hint="eastAsia"/>
                <w:b/>
              </w:rPr>
              <w:t>通报成员：</w:t>
            </w:r>
            <w:r>
              <w:rPr>
                <w:rFonts w:hint="eastAsia"/>
                <w:u w:val="single"/>
              </w:rPr>
              <w:t>日本</w:t>
            </w:r>
          </w:p>
          <w:p>
            <w:pPr>
              <w:spacing w:after="120"/>
            </w:pPr>
            <w:r>
              <w:rPr>
                <w:rFonts w:hint="eastAsia"/>
                <w:b/>
              </w:rPr>
              <w:t>如可能，列出涉及的地方政府名称</w:t>
            </w:r>
            <w:r>
              <w:rPr>
                <w:b/>
              </w:rPr>
              <w:t xml:space="preserve"> ( 3.2</w:t>
            </w:r>
            <w:r>
              <w:rPr>
                <w:rFonts w:hint="eastAsia"/>
                <w:b/>
              </w:rPr>
              <w:t>条和</w:t>
            </w:r>
            <w:r>
              <w:rPr>
                <w:b/>
              </w:rPr>
              <w:t>7.2</w:t>
            </w:r>
            <w:r>
              <w:rPr>
                <w:rFonts w:hint="eastAsia"/>
                <w:b/>
              </w:rPr>
              <w:t xml:space="preserve"> 条)：</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2.</w:t>
            </w:r>
          </w:p>
        </w:tc>
        <w:tc>
          <w:tcPr>
            <w:tcW w:w="8363" w:type="dxa"/>
            <w:gridSpan w:val="3"/>
            <w:tcBorders>
              <w:top w:val="single" w:color="auto" w:sz="4" w:space="0"/>
              <w:bottom w:val="single" w:color="auto" w:sz="4" w:space="0"/>
            </w:tcBorders>
            <w:vAlign w:val="top"/>
          </w:tcPr>
          <w:p>
            <w:pPr>
              <w:pStyle w:val="2"/>
              <w:spacing w:before="120" w:beforeLines="50" w:after="120" w:afterLines="50"/>
              <w:rPr>
                <w:rFonts w:hint="eastAsia"/>
              </w:rPr>
            </w:pPr>
            <w:r>
              <w:rPr>
                <w:rFonts w:hint="eastAsia"/>
              </w:rPr>
              <w:t>负责机构：</w:t>
            </w:r>
            <w:r>
              <w:rPr>
                <w:rFonts w:hint="eastAsia"/>
                <w:b w:val="0"/>
              </w:rPr>
              <w:t>经济产业省、厚生劳动省、环境省</w:t>
            </w:r>
            <w:r>
              <w:rPr>
                <w:b w:val="0"/>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3.</w:t>
            </w:r>
          </w:p>
        </w:tc>
        <w:tc>
          <w:tcPr>
            <w:tcW w:w="8363" w:type="dxa"/>
            <w:gridSpan w:val="3"/>
            <w:tcBorders>
              <w:top w:val="single" w:color="auto" w:sz="4" w:space="0"/>
              <w:bottom w:val="single" w:color="auto" w:sz="4" w:space="0"/>
            </w:tcBorders>
            <w:vAlign w:val="top"/>
          </w:tcPr>
          <w:p>
            <w:pPr>
              <w:spacing w:before="120" w:after="120"/>
            </w:pPr>
            <w:r>
              <w:rPr>
                <w:rFonts w:hint="eastAsia"/>
                <w:b/>
              </w:rPr>
              <w:t>通报依据的条款</w:t>
            </w:r>
            <w:r>
              <w:rPr>
                <w:b/>
              </w:rPr>
              <w:t xml:space="preserve"> 2.9.2 [X</w:t>
            </w:r>
            <w:r>
              <w:rPr>
                <w:rFonts w:hint="eastAsia"/>
                <w:b/>
              </w:rPr>
              <w:t xml:space="preserve"> </w:t>
            </w:r>
            <w:r>
              <w:rPr>
                <w:b/>
              </w:rPr>
              <w:t>], 2.10.1 [ </w:t>
            </w:r>
            <w:r>
              <w:fldChar w:fldCharType="begin">
                <w:ffData>
                  <w:name w:val="Text12"/>
                  <w:enabled/>
                  <w:calcOnExit w:val="0"/>
                  <w:textInput>
                    <w:maxLength w:val="1"/>
                  </w:textInput>
                </w:ffData>
              </w:fldChar>
            </w:r>
            <w:r>
              <w:instrText xml:space="preserve"> FORMTEXT </w:instrText>
            </w:r>
            <w:r>
              <w:fldChar w:fldCharType="separate"/>
            </w:r>
            <w:r>
              <w:rPr>
                <w:lang w:val="zh-CN" w:eastAsia="zh-CN"/>
              </w:rPr>
              <w:t> </w:t>
            </w:r>
            <w:r>
              <w:fldChar w:fldCharType="end"/>
            </w:r>
            <w:r>
              <w:rPr>
                <w:b/>
              </w:rPr>
              <w:t>], 5.6.2 [</w:t>
            </w:r>
            <w:r>
              <w:rPr>
                <w:rFonts w:hint="eastAsia"/>
                <w:b/>
              </w:rPr>
              <w:t xml:space="preserve"> </w:t>
            </w:r>
            <w:r>
              <w:rPr>
                <w:rFonts w:hint="eastAsia"/>
              </w:rPr>
              <w:t xml:space="preserve"> </w:t>
            </w:r>
            <w:r>
              <w:rPr>
                <w:b/>
              </w:rPr>
              <w:t>], 5.7.1 [ </w:t>
            </w:r>
            <w:r>
              <w:fldChar w:fldCharType="begin">
                <w:ffData>
                  <w:name w:val="Text12"/>
                  <w:enabled/>
                  <w:calcOnExit w:val="0"/>
                  <w:textInput>
                    <w:maxLength w:val="1"/>
                  </w:textInput>
                </w:ffData>
              </w:fldChar>
            </w:r>
            <w:r>
              <w:instrText xml:space="preserve"> FORMTEXT </w:instrText>
            </w:r>
            <w:r>
              <w:fldChar w:fldCharType="separate"/>
            </w:r>
            <w:r>
              <w:rPr>
                <w:lang w:val="zh-CN" w:eastAsia="zh-CN"/>
              </w:rPr>
              <w:t> </w:t>
            </w:r>
            <w:r>
              <w:fldChar w:fldCharType="end"/>
            </w:r>
            <w:r>
              <w:rPr>
                <w:b/>
              </w:rPr>
              <w:t xml:space="preserve">], </w:t>
            </w:r>
            <w:r>
              <w:rPr>
                <w:rFonts w:hint="eastAsia"/>
                <w:b/>
              </w:rPr>
              <w:t>其他</w:t>
            </w:r>
            <w:r>
              <w:rPr>
                <w:b/>
              </w:rPr>
              <w:t>:</w:t>
            </w:r>
            <w:r>
              <w:t xml:space="preserve">  </w:t>
            </w:r>
            <w:r>
              <w:fldChar w:fldCharType="begin">
                <w:ffData>
                  <w:name w:val="Text3"/>
                  <w:enabled/>
                  <w:calcOnExit w:val="0"/>
                  <w:textInput/>
                </w:ffData>
              </w:fldChar>
            </w:r>
            <w:r>
              <w:instrText xml:space="preserve"> FORMTEXT </w:instrText>
            </w:r>
            <w:r>
              <w:fldChar w:fldCharType="separate"/>
            </w:r>
            <w:r>
              <w:rPr>
                <w:lang w:val="zh-CN" w:eastAsia="zh-CN"/>
              </w:rPr>
              <w:t>     </w:t>
            </w:r>
            <w:r>
              <w:fldChar w:fldCharType="end"/>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4.</w:t>
            </w:r>
          </w:p>
        </w:tc>
        <w:tc>
          <w:tcPr>
            <w:tcW w:w="8363" w:type="dxa"/>
            <w:gridSpan w:val="3"/>
            <w:tcBorders>
              <w:top w:val="single" w:color="auto" w:sz="4" w:space="0"/>
              <w:bottom w:val="single" w:color="auto" w:sz="4" w:space="0"/>
            </w:tcBorders>
            <w:vAlign w:val="top"/>
          </w:tcPr>
          <w:p>
            <w:pPr>
              <w:spacing w:before="120"/>
              <w:jc w:val="left"/>
              <w:rPr>
                <w:rFonts w:hint="eastAsia"/>
                <w:b/>
              </w:rPr>
            </w:pPr>
            <w:r>
              <w:rPr>
                <w:rFonts w:hint="eastAsia"/>
                <w:b/>
              </w:rPr>
              <w:t>覆盖的产品</w:t>
            </w:r>
            <w:r>
              <w:rPr>
                <w:b/>
              </w:rPr>
              <w:t xml:space="preserve"> (</w:t>
            </w:r>
            <w:r>
              <w:rPr>
                <w:rFonts w:hint="eastAsia"/>
                <w:b/>
              </w:rPr>
              <w:t xml:space="preserve"> 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b/>
              </w:rPr>
              <w:t>:</w:t>
            </w:r>
          </w:p>
          <w:p>
            <w:pPr>
              <w:jc w:val="left"/>
              <w:rPr>
                <w:rFonts w:hint="eastAsia"/>
              </w:rPr>
            </w:pPr>
            <w:r>
              <w:rPr>
                <w:rFonts w:hint="eastAsia"/>
              </w:rPr>
              <w:t>以下化学物质：</w:t>
            </w:r>
          </w:p>
          <w:p>
            <w:pPr>
              <w:jc w:val="left"/>
              <w:rPr>
                <w:rFonts w:hint="eastAsia"/>
              </w:rPr>
            </w:pPr>
            <w:r>
              <w:rPr>
                <w:rFonts w:hint="eastAsia"/>
              </w:rPr>
              <w:t>1.含两个氯原子多氯化萘</w:t>
            </w:r>
          </w:p>
          <w:p>
            <w:pPr>
              <w:jc w:val="left"/>
              <w:rPr>
                <w:rFonts w:hint="eastAsia"/>
              </w:rPr>
            </w:pPr>
            <w:r>
              <w:rPr>
                <w:rFonts w:hint="eastAsia"/>
              </w:rPr>
              <w:t>2.五氯苯酚及其盐类和酯类</w:t>
            </w:r>
          </w:p>
          <w:p>
            <w:pPr>
              <w:jc w:val="left"/>
              <w:rPr>
                <w:rFonts w:hint="eastAsia"/>
              </w:rPr>
            </w:pPr>
            <w:r>
              <w:rPr>
                <w:rFonts w:hint="eastAsia"/>
              </w:rPr>
              <w:t>以下使用了含两个氯原子多氯化萘的产品</w:t>
            </w:r>
          </w:p>
          <w:p>
            <w:pPr>
              <w:jc w:val="left"/>
              <w:rPr>
                <w:rFonts w:hint="eastAsia"/>
              </w:rPr>
            </w:pPr>
            <w:r>
              <w:rPr>
                <w:rFonts w:hint="eastAsia"/>
              </w:rPr>
              <w:t>1.润滑油和切割油</w:t>
            </w:r>
          </w:p>
          <w:p>
            <w:pPr>
              <w:jc w:val="left"/>
              <w:rPr>
                <w:rFonts w:hint="eastAsia"/>
              </w:rPr>
            </w:pPr>
            <w:r>
              <w:rPr>
                <w:rFonts w:hint="eastAsia"/>
              </w:rPr>
              <w:t>2.木材防虫剂、杀虫剂和杀菌剂</w:t>
            </w:r>
          </w:p>
          <w:p>
            <w:pPr>
              <w:jc w:val="left"/>
              <w:rPr>
                <w:rFonts w:hint="eastAsia"/>
              </w:rPr>
            </w:pPr>
            <w:r>
              <w:rPr>
                <w:rFonts w:hint="eastAsia"/>
              </w:rPr>
              <w:t>3.油漆（限定在防虫、杀虫和杀菌用途）</w:t>
            </w:r>
          </w:p>
          <w:p>
            <w:pPr>
              <w:jc w:val="left"/>
              <w:rPr>
                <w:rFonts w:hint="eastAsia"/>
              </w:rPr>
            </w:pPr>
            <w:r>
              <w:rPr>
                <w:rFonts w:hint="eastAsia"/>
              </w:rPr>
              <w:t>以下使用了五氯苯酚及其盐类和酯类的产品：</w:t>
            </w:r>
          </w:p>
          <w:p>
            <w:pPr>
              <w:jc w:val="left"/>
              <w:rPr>
                <w:rFonts w:hint="eastAsia"/>
              </w:rPr>
            </w:pPr>
            <w:r>
              <w:rPr>
                <w:rFonts w:hint="eastAsia"/>
              </w:rPr>
              <w:t>1.木材防虫剂、杀虫剂和杀菌剂</w:t>
            </w:r>
          </w:p>
          <w:p>
            <w:pPr>
              <w:jc w:val="left"/>
              <w:rPr>
                <w:rFonts w:hint="eastAsia"/>
              </w:rPr>
            </w:pPr>
            <w:r>
              <w:rPr>
                <w:rFonts w:hint="eastAsia"/>
              </w:rPr>
              <w:t>2.用防虫剂、杀虫剂和杀菌剂处理过的木材</w:t>
            </w:r>
          </w:p>
          <w:p>
            <w:pPr>
              <w:jc w:val="left"/>
              <w:rPr>
                <w:rFonts w:hint="eastAsia"/>
              </w:rPr>
            </w:pPr>
            <w:r>
              <w:rPr>
                <w:rFonts w:hint="eastAsia"/>
              </w:rPr>
              <w:t>3.用防虫剂、杀虫剂和杀菌剂处理过的压合板</w:t>
            </w:r>
          </w:p>
          <w:p>
            <w:pPr>
              <w:jc w:val="left"/>
              <w:rPr>
                <w:rFonts w:hint="eastAsia"/>
              </w:rPr>
            </w:pPr>
            <w:r>
              <w:rPr>
                <w:rFonts w:hint="eastAsia"/>
              </w:rPr>
              <w:t>4.胶</w:t>
            </w:r>
          </w:p>
          <w:p>
            <w:pPr>
              <w:spacing w:after="120" w:afterLines="50"/>
              <w:jc w:val="left"/>
              <w:rPr>
                <w:rFonts w:hint="eastAsia"/>
              </w:rPr>
            </w:pPr>
            <w:r>
              <w:rPr>
                <w:rFonts w:ascii="CG Times" w:hAnsi="CG Times"/>
                <w:b/>
                <w:color w:val="000000"/>
              </w:rPr>
              <w:t>ICS:</w:t>
            </w:r>
            <w:r>
              <w:rPr>
                <w:rFonts w:ascii="CG Times" w:hAnsi="CG Times"/>
                <w:color w:val="000000"/>
              </w:rPr>
              <w:t xml:space="preserve">     </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color w:val="000000"/>
              </w:rPr>
              <w:tab/>
            </w:r>
            <w:r>
              <w:rPr>
                <w:rFonts w:hint="eastAsia" w:ascii="CG Times" w:hAnsi="CG Times"/>
                <w:color w:val="000000"/>
              </w:rPr>
              <w:t xml:space="preserve">         </w:t>
            </w:r>
            <w:r>
              <w:rPr>
                <w:rFonts w:ascii="CG Times" w:hAnsi="CG Times"/>
                <w:b/>
                <w:color w:val="000000"/>
              </w:rPr>
              <w:t>HS:</w:t>
            </w:r>
            <w:r>
              <w:rPr>
                <w:rFonts w:ascii="CG Times" w:hAnsi="CG Times"/>
                <w:color w:val="000000"/>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5.</w:t>
            </w:r>
          </w:p>
        </w:tc>
        <w:tc>
          <w:tcPr>
            <w:tcW w:w="8363" w:type="dxa"/>
            <w:gridSpan w:val="3"/>
            <w:tcBorders>
              <w:top w:val="single" w:color="auto" w:sz="4" w:space="0"/>
              <w:bottom w:val="single" w:color="auto" w:sz="4" w:space="0"/>
            </w:tcBorders>
            <w:vAlign w:val="top"/>
          </w:tcPr>
          <w:p>
            <w:pPr>
              <w:spacing w:before="120" w:after="120"/>
              <w:rPr>
                <w:rFonts w:hint="eastAsia"/>
                <w:b/>
              </w:rPr>
            </w:pPr>
            <w:r>
              <w:rPr>
                <w:rFonts w:hint="eastAsia"/>
                <w:b/>
              </w:rPr>
              <w:t>通报文件的标题</w:t>
            </w:r>
            <w:r>
              <w:rPr>
                <w:b/>
              </w:rPr>
              <w:t xml:space="preserve">, </w:t>
            </w:r>
            <w:r>
              <w:rPr>
                <w:rFonts w:hint="eastAsia"/>
                <w:b/>
              </w:rPr>
              <w:t>页数和使用语言</w:t>
            </w:r>
            <w:r>
              <w:rPr>
                <w:b/>
              </w:rPr>
              <w:t>:</w:t>
            </w:r>
            <w:r>
              <w:rPr>
                <w:rFonts w:hint="eastAsia"/>
                <w:b/>
              </w:rPr>
              <w:t xml:space="preserve"> </w:t>
            </w:r>
            <w:r>
              <w:rPr>
                <w:rFonts w:hint="eastAsia"/>
              </w:rPr>
              <w:t>修订“化学物质评价和生产规则法案执行令”（2页，英语）</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6.</w:t>
            </w:r>
          </w:p>
        </w:tc>
        <w:tc>
          <w:tcPr>
            <w:tcW w:w="8363" w:type="dxa"/>
            <w:gridSpan w:val="3"/>
            <w:tcBorders>
              <w:top w:val="single" w:color="auto" w:sz="4" w:space="0"/>
              <w:bottom w:val="single" w:color="auto" w:sz="4" w:space="0"/>
            </w:tcBorders>
            <w:vAlign w:val="top"/>
          </w:tcPr>
          <w:p>
            <w:pPr>
              <w:pStyle w:val="4"/>
              <w:spacing w:before="120" w:beforeLines="50"/>
              <w:rPr>
                <w:rFonts w:hint="eastAsia"/>
              </w:rPr>
            </w:pPr>
            <w:r>
              <w:rPr>
                <w:rFonts w:hint="eastAsia"/>
                <w:b/>
              </w:rPr>
              <w:t>内容简述</w:t>
            </w:r>
            <w:r>
              <w:rPr>
                <w:b/>
              </w:rPr>
              <w:t>:</w:t>
            </w:r>
            <w:r>
              <w:rPr>
                <w:rFonts w:hint="eastAsia"/>
                <w:b/>
              </w:rPr>
              <w:t xml:space="preserve"> </w:t>
            </w:r>
            <w:r>
              <w:rPr>
                <w:rFonts w:hint="eastAsia"/>
                <w:spacing w:val="-2"/>
                <w:szCs w:val="22"/>
              </w:rPr>
              <w:t>根据</w:t>
            </w:r>
            <w:r>
              <w:rPr>
                <w:rFonts w:hint="eastAsia"/>
              </w:rPr>
              <w:t>化学物质评价和生产规则法案（以下称为“法案”）第17和22条，以下物质被指定为需要生产或进口授权的I类化学物质。</w:t>
            </w:r>
          </w:p>
          <w:p>
            <w:pPr>
              <w:jc w:val="left"/>
              <w:rPr>
                <w:rFonts w:hint="eastAsia"/>
              </w:rPr>
            </w:pPr>
            <w:r>
              <w:rPr>
                <w:rFonts w:hint="eastAsia"/>
              </w:rPr>
              <w:t>1.含两个氯原子多氯化萘</w:t>
            </w:r>
          </w:p>
          <w:p>
            <w:pPr>
              <w:jc w:val="left"/>
              <w:rPr>
                <w:rFonts w:hint="eastAsia"/>
              </w:rPr>
            </w:pPr>
            <w:r>
              <w:rPr>
                <w:rFonts w:hint="eastAsia"/>
              </w:rPr>
              <w:t>2.五氯苯酚及其盐类和酯类</w:t>
            </w:r>
          </w:p>
          <w:p>
            <w:pPr>
              <w:pStyle w:val="5"/>
              <w:rPr>
                <w:rFonts w:hint="eastAsia"/>
              </w:rPr>
            </w:pPr>
            <w:r>
              <w:rPr>
                <w:rFonts w:hint="eastAsia"/>
              </w:rPr>
              <w:t>根据法案第24条，以下物质如果使用了两个氯原子多氯化萘被指定为禁止进口产品。</w:t>
            </w:r>
          </w:p>
          <w:p>
            <w:pPr>
              <w:jc w:val="left"/>
              <w:rPr>
                <w:rFonts w:hint="eastAsia"/>
              </w:rPr>
            </w:pPr>
            <w:r>
              <w:rPr>
                <w:rFonts w:hint="eastAsia"/>
              </w:rPr>
              <w:t>1.润滑油和切割油</w:t>
            </w:r>
          </w:p>
          <w:p>
            <w:pPr>
              <w:jc w:val="left"/>
              <w:rPr>
                <w:rFonts w:hint="eastAsia"/>
              </w:rPr>
            </w:pPr>
            <w:r>
              <w:rPr>
                <w:rFonts w:hint="eastAsia"/>
              </w:rPr>
              <w:t>2.木材防虫剂、杀虫剂和杀菌剂</w:t>
            </w:r>
          </w:p>
          <w:p>
            <w:pPr>
              <w:jc w:val="left"/>
              <w:rPr>
                <w:rFonts w:hint="eastAsia"/>
              </w:rPr>
            </w:pPr>
            <w:r>
              <w:rPr>
                <w:rFonts w:hint="eastAsia"/>
              </w:rPr>
              <w:t>3.油漆（限定在防虫、杀虫和杀菌用途）</w:t>
            </w:r>
          </w:p>
          <w:p>
            <w:pPr>
              <w:rPr>
                <w:rFonts w:hint="eastAsia"/>
              </w:rPr>
            </w:pPr>
            <w:r>
              <w:rPr>
                <w:rFonts w:hint="eastAsia"/>
              </w:rPr>
              <w:t>此外，以下物质如果使用了五氯苯酚及其盐类和酯类被指定为禁止进口产品。</w:t>
            </w:r>
          </w:p>
          <w:p>
            <w:pPr>
              <w:jc w:val="left"/>
              <w:rPr>
                <w:rFonts w:hint="eastAsia"/>
              </w:rPr>
            </w:pPr>
            <w:r>
              <w:rPr>
                <w:rFonts w:hint="eastAsia"/>
              </w:rPr>
              <w:t>1.木材防虫剂、杀虫剂和杀菌剂</w:t>
            </w:r>
          </w:p>
          <w:p>
            <w:pPr>
              <w:jc w:val="left"/>
              <w:rPr>
                <w:rFonts w:hint="eastAsia"/>
              </w:rPr>
            </w:pPr>
            <w:r>
              <w:rPr>
                <w:rFonts w:hint="eastAsia"/>
              </w:rPr>
              <w:t>2.用防虫剂、杀虫剂和杀菌剂处理过的木材</w:t>
            </w:r>
          </w:p>
          <w:p>
            <w:pPr>
              <w:jc w:val="left"/>
              <w:rPr>
                <w:rFonts w:hint="eastAsia"/>
              </w:rPr>
            </w:pPr>
            <w:r>
              <w:rPr>
                <w:rFonts w:hint="eastAsia"/>
              </w:rPr>
              <w:t>3.用防虫剂、杀虫剂和杀菌剂处理过的压合板</w:t>
            </w:r>
          </w:p>
          <w:p>
            <w:pPr>
              <w:spacing w:after="120" w:afterLines="50"/>
              <w:jc w:val="left"/>
              <w:rPr>
                <w:rFonts w:hint="eastAsia"/>
              </w:rPr>
            </w:pPr>
            <w:r>
              <w:rPr>
                <w:rFonts w:hint="eastAsia"/>
              </w:rPr>
              <w:t>4.胶</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7.</w:t>
            </w:r>
          </w:p>
        </w:tc>
        <w:tc>
          <w:tcPr>
            <w:tcW w:w="8363" w:type="dxa"/>
            <w:gridSpan w:val="3"/>
            <w:tcBorders>
              <w:top w:val="single" w:color="auto" w:sz="4" w:space="0"/>
              <w:bottom w:val="single" w:color="auto" w:sz="4" w:space="0"/>
            </w:tcBorders>
            <w:vAlign w:val="top"/>
          </w:tcPr>
          <w:p>
            <w:pPr>
              <w:spacing w:before="120"/>
              <w:rPr>
                <w:rFonts w:hint="eastAsia"/>
              </w:rPr>
            </w:pPr>
            <w:r>
              <w:rPr>
                <w:rFonts w:hint="eastAsia"/>
                <w:b/>
              </w:rPr>
              <w:t>目标和理由</w:t>
            </w:r>
            <w:r>
              <w:rPr>
                <w:b/>
              </w:rPr>
              <w:t xml:space="preserve">, </w:t>
            </w:r>
            <w:r>
              <w:rPr>
                <w:rFonts w:hint="eastAsia"/>
                <w:b/>
              </w:rPr>
              <w:t>如是紧急措施，说明紧急问题的性质</w:t>
            </w:r>
            <w:r>
              <w:rPr>
                <w:b/>
              </w:rPr>
              <w:t>:</w:t>
            </w:r>
            <w:r>
              <w:t xml:space="preserve"> </w:t>
            </w:r>
            <w:r>
              <w:rPr>
                <w:rFonts w:hint="eastAsia"/>
              </w:rPr>
              <w:t>防止“含两个氯原子多氯化萘”和“五氯苯酚及其盐类和酯类”引起的环境污染，这些物质是潜在的危险物质，因为无生物降解能力，可能存在高等级的生物体内积累和慢性毒性，因此根据法案被指定为I类化学物质。</w:t>
            </w:r>
          </w:p>
          <w:p>
            <w:pPr>
              <w:rPr>
                <w:rFonts w:hint="eastAsia"/>
              </w:rPr>
            </w:pPr>
            <w:r>
              <w:rPr>
                <w:rFonts w:hint="eastAsia"/>
              </w:rPr>
              <w:t>本修订基于斯德哥尔摩公约2015年第7次会议决议，按照决议“二氯化萘、三氯化萘、四氯化萘、五氯化萘、六氯化萘、七氯化萘、八氯化萘”及“五氯苯酚及其盐类和酯类”归入淘汰范围。</w:t>
            </w:r>
          </w:p>
          <w:p>
            <w:pPr>
              <w:spacing w:after="120"/>
              <w:rPr>
                <w:rFonts w:hint="eastAsia"/>
              </w:rPr>
            </w:pPr>
            <w:r>
              <w:rPr>
                <w:rFonts w:hint="eastAsia"/>
              </w:rPr>
              <w:t>此外，为防止环境污染，禁止进口某些使用了上述化学物质的产品。含3个或多个氯原子多氯化萘已经根据1979年法案被指定为I类化学物质。</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8.</w:t>
            </w:r>
          </w:p>
        </w:tc>
        <w:tc>
          <w:tcPr>
            <w:tcW w:w="8363" w:type="dxa"/>
            <w:gridSpan w:val="3"/>
            <w:tcBorders>
              <w:top w:val="single" w:color="auto" w:sz="4" w:space="0"/>
              <w:bottom w:val="single" w:color="auto" w:sz="4" w:space="0"/>
            </w:tcBorders>
            <w:vAlign w:val="top"/>
          </w:tcPr>
          <w:p>
            <w:pPr>
              <w:spacing w:before="120" w:beforeLines="50"/>
              <w:rPr>
                <w:rFonts w:hint="eastAsia"/>
              </w:rPr>
            </w:pPr>
            <w:r>
              <w:rPr>
                <w:rFonts w:hint="eastAsia"/>
                <w:b/>
              </w:rPr>
              <w:t>相关文件</w:t>
            </w:r>
            <w:r>
              <w:rPr>
                <w:b/>
              </w:rPr>
              <w:t>:</w:t>
            </w:r>
            <w:r>
              <w:rPr>
                <w:rFonts w:hint="eastAsia"/>
              </w:rPr>
              <w:t xml:space="preserve"> </w:t>
            </w:r>
          </w:p>
          <w:p>
            <w:pPr>
              <w:rPr>
                <w:rFonts w:hint="eastAsia"/>
              </w:rPr>
            </w:pPr>
            <w:r>
              <w:rPr>
                <w:rFonts w:hint="eastAsia"/>
              </w:rPr>
              <w:t>·化学物质评价和生产规则法案（1973年10月16日法案</w:t>
            </w:r>
            <w:r>
              <w:t>No.117</w:t>
            </w:r>
            <w:r>
              <w:rPr>
                <w:rFonts w:hint="eastAsia"/>
              </w:rPr>
              <w:t>）</w:t>
            </w:r>
          </w:p>
          <w:p>
            <w:pPr>
              <w:ind w:firstLine="220" w:firstLineChars="100"/>
              <w:rPr>
                <w:rFonts w:hint="eastAsia"/>
              </w:rPr>
            </w:pPr>
            <w:r>
              <w:t>http://www.meti.go.jp/policy/chemical_management/english/cscl/files/laws/laws_cscl.pdf</w:t>
            </w:r>
            <w:r>
              <w:rPr>
                <w:rFonts w:hint="eastAsia"/>
              </w:rPr>
              <w:t>（英语）</w:t>
            </w:r>
          </w:p>
          <w:p>
            <w:pPr>
              <w:rPr>
                <w:rFonts w:hint="eastAsia"/>
              </w:rPr>
            </w:pPr>
            <w:r>
              <w:rPr>
                <w:rFonts w:hint="eastAsia"/>
              </w:rPr>
              <w:t>·内阁法令化学物质控制法及修订（</w:t>
            </w:r>
            <w:r>
              <w:t>1974</w:t>
            </w:r>
            <w:r>
              <w:rPr>
                <w:rFonts w:hint="eastAsia"/>
              </w:rPr>
              <w:t>年内阁法令</w:t>
            </w:r>
            <w:r>
              <w:t>No. 202</w:t>
            </w:r>
            <w:r>
              <w:rPr>
                <w:rFonts w:hint="eastAsia"/>
              </w:rPr>
              <w:t>）</w:t>
            </w:r>
          </w:p>
          <w:p>
            <w:pPr>
              <w:ind w:firstLine="220" w:firstLineChars="100"/>
              <w:rPr>
                <w:rFonts w:hint="eastAsia"/>
              </w:rPr>
            </w:pPr>
            <w:r>
              <w:t>http://www.meti.go.jp/policy/chemical_management/english/cscl/files/laws/laws_order_cscl.pdf</w:t>
            </w:r>
            <w:r>
              <w:rPr>
                <w:rFonts w:hint="eastAsia"/>
              </w:rPr>
              <w:t>（英语）</w:t>
            </w:r>
          </w:p>
          <w:p>
            <w:pPr>
              <w:rPr>
                <w:rFonts w:hint="eastAsia"/>
              </w:rPr>
            </w:pPr>
            <w:r>
              <w:rPr>
                <w:rFonts w:hint="eastAsia"/>
              </w:rPr>
              <w:t>·2015年9月18日化学物质理事会关于结论的新闻稿（英语）</w:t>
            </w:r>
          </w:p>
          <w:p>
            <w:pPr>
              <w:spacing w:after="120"/>
              <w:ind w:firstLine="220" w:firstLineChars="100"/>
              <w:rPr>
                <w:rFonts w:hint="eastAsia"/>
              </w:rPr>
            </w:pPr>
            <w:r>
              <w:t>http://www.meti.go.jp/english/press/2015/1023_02.html</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9.</w:t>
            </w:r>
          </w:p>
        </w:tc>
        <w:tc>
          <w:tcPr>
            <w:tcW w:w="2268" w:type="dxa"/>
            <w:tcBorders>
              <w:top w:val="single" w:color="auto" w:sz="4" w:space="0"/>
              <w:bottom w:val="single" w:color="auto" w:sz="4" w:space="0"/>
            </w:tcBorders>
            <w:vAlign w:val="top"/>
          </w:tcPr>
          <w:p>
            <w:pPr>
              <w:spacing w:before="120"/>
              <w:jc w:val="left"/>
              <w:rPr>
                <w:rFonts w:hint="eastAsia"/>
                <w:b/>
              </w:rPr>
            </w:pPr>
            <w:r>
              <w:rPr>
                <w:rFonts w:hint="eastAsia"/>
                <w:b/>
              </w:rPr>
              <w:t>拟批准日期</w:t>
            </w:r>
            <w:r>
              <w:rPr>
                <w:b/>
              </w:rPr>
              <w:t xml:space="preserve">:  </w:t>
            </w:r>
          </w:p>
          <w:p>
            <w:pPr>
              <w:spacing w:after="120"/>
              <w:jc w:val="left"/>
              <w:rPr>
                <w:rFonts w:hint="eastAsia"/>
              </w:rPr>
            </w:pPr>
            <w:r>
              <w:rPr>
                <w:rFonts w:hint="eastAsia"/>
                <w:b/>
              </w:rPr>
              <w:t>拟生效日期</w:t>
            </w:r>
            <w:r>
              <w:rPr>
                <w:b/>
              </w:rPr>
              <w:t xml:space="preserve">: </w:t>
            </w:r>
            <w:r>
              <w:rPr>
                <w:rFonts w:hint="eastAsia"/>
                <w:b/>
              </w:rPr>
              <w:t xml:space="preserve"> </w:t>
            </w:r>
          </w:p>
        </w:tc>
        <w:tc>
          <w:tcPr>
            <w:tcW w:w="425" w:type="dxa"/>
            <w:tcBorders>
              <w:top w:val="single" w:color="auto" w:sz="4" w:space="0"/>
              <w:bottom w:val="single" w:color="auto" w:sz="4" w:space="0"/>
            </w:tcBorders>
            <w:vAlign w:val="top"/>
          </w:tcPr>
          <w:p>
            <w:pPr>
              <w:spacing w:before="120"/>
              <w:rPr>
                <w:rFonts w:hint="eastAsia"/>
                <w:sz w:val="40"/>
              </w:rPr>
            </w:pPr>
          </w:p>
        </w:tc>
        <w:tc>
          <w:tcPr>
            <w:tcW w:w="5670" w:type="dxa"/>
            <w:tcBorders>
              <w:top w:val="single" w:color="auto" w:sz="4" w:space="0"/>
              <w:bottom w:val="single" w:color="auto" w:sz="4" w:space="0"/>
            </w:tcBorders>
            <w:vAlign w:val="center"/>
          </w:tcPr>
          <w:p>
            <w:pPr>
              <w:spacing w:before="120" w:beforeLines="50"/>
              <w:rPr>
                <w:rFonts w:hint="eastAsia"/>
              </w:rPr>
            </w:pPr>
            <w:r>
              <w:rPr>
                <w:rFonts w:hint="eastAsia"/>
              </w:rPr>
              <w:t>2016年3月</w:t>
            </w:r>
          </w:p>
          <w:p>
            <w:pPr>
              <w:spacing w:after="120" w:afterLines="50"/>
              <w:rPr>
                <w:rFonts w:hint="eastAsia"/>
              </w:rPr>
            </w:pPr>
            <w:r>
              <w:rPr>
                <w:rFonts w:hint="eastAsia"/>
              </w:rPr>
              <w:t>对于化学物质生效日期是2016年4月，对于产品生效日期是2016年10月</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10.</w:t>
            </w:r>
          </w:p>
        </w:tc>
        <w:tc>
          <w:tcPr>
            <w:tcW w:w="8363" w:type="dxa"/>
            <w:gridSpan w:val="3"/>
            <w:tcBorders>
              <w:top w:val="single" w:color="auto" w:sz="4" w:space="0"/>
              <w:bottom w:val="single" w:color="auto" w:sz="4" w:space="0"/>
            </w:tcBorders>
            <w:vAlign w:val="top"/>
          </w:tcPr>
          <w:p>
            <w:pPr>
              <w:spacing w:before="120" w:after="120"/>
              <w:rPr>
                <w:rFonts w:hint="eastAsia"/>
              </w:rPr>
            </w:pPr>
            <w:r>
              <w:rPr>
                <w:rFonts w:hint="eastAsia"/>
                <w:b/>
              </w:rPr>
              <w:t>提意见截止日期</w:t>
            </w:r>
            <w:r>
              <w:rPr>
                <w:b/>
              </w:rPr>
              <w:t>:</w:t>
            </w:r>
            <w:r>
              <w:t xml:space="preserve"> </w:t>
            </w:r>
            <w:r>
              <w:rPr>
                <w:rFonts w:hint="eastAsia" w:ascii="宋体" w:hAnsi="宋体"/>
                <w:szCs w:val="22"/>
              </w:rPr>
              <w:t>通报之后</w:t>
            </w:r>
            <w:r>
              <w:rPr>
                <w:rFonts w:hint="eastAsia"/>
                <w:szCs w:val="22"/>
              </w:rPr>
              <w:t>60</w:t>
            </w:r>
            <w:r>
              <w:rPr>
                <w:rFonts w:hint="eastAsia" w:ascii="宋体" w:hAnsi="宋体"/>
                <w:szCs w:val="22"/>
              </w:rPr>
              <w:t>天</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double" w:color="auto" w:sz="4" w:space="0"/>
            </w:tcBorders>
            <w:vAlign w:val="top"/>
          </w:tcPr>
          <w:p>
            <w:pPr>
              <w:spacing w:before="120"/>
              <w:rPr>
                <w:b/>
              </w:rPr>
            </w:pPr>
            <w:r>
              <w:rPr>
                <w:b/>
              </w:rPr>
              <w:t>11.</w:t>
            </w:r>
          </w:p>
        </w:tc>
        <w:tc>
          <w:tcPr>
            <w:tcW w:w="8363" w:type="dxa"/>
            <w:gridSpan w:val="3"/>
            <w:tcBorders>
              <w:top w:val="single" w:color="auto" w:sz="4" w:space="0"/>
              <w:bottom w:val="double" w:color="auto" w:sz="4" w:space="0"/>
            </w:tcBorders>
            <w:vAlign w:val="top"/>
          </w:tcPr>
          <w:p>
            <w:pPr>
              <w:spacing w:before="120" w:after="120"/>
              <w:rPr>
                <w:rFonts w:hint="eastAsia"/>
              </w:rPr>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tbl>
    <w:p>
      <w:pPr>
        <w:tabs>
          <w:tab w:val="clear" w:pos="720"/>
        </w:tabs>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G Times">
    <w:altName w:val="Times New Roman"/>
    <w:panose1 w:val="02020603050405020304"/>
    <w:charset w:val="00"/>
    <w:family w:val="modern"/>
    <w:pitch w:val="default"/>
    <w:sig w:usb0="00000000" w:usb1="00000000" w:usb2="00000000" w:usb3="00000000" w:csb0="00000093"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D0B35"/>
    <w:rsid w:val="6BAD0B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720"/>
      </w:tabs>
      <w:jc w:val="both"/>
    </w:pPr>
    <w:rPr>
      <w:sz w:val="22"/>
      <w:szCs w:val="22"/>
      <w:lang w:val="en-GB"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toa heading"/>
    <w:basedOn w:val="1"/>
    <w:next w:val="1"/>
    <w:uiPriority w:val="0"/>
    <w:rPr>
      <w:b/>
    </w:rPr>
  </w:style>
  <w:style w:type="paragraph" w:styleId="3">
    <w:name w:val="header"/>
    <w:basedOn w:val="1"/>
    <w:uiPriority w:val="0"/>
    <w:pPr>
      <w:tabs>
        <w:tab w:val="center" w:pos="4513"/>
        <w:tab w:val="right" w:pos="9027"/>
        <w:tab w:val="clear" w:pos="720"/>
      </w:tabs>
      <w:jc w:val="left"/>
    </w:pPr>
  </w:style>
  <w:style w:type="paragraph" w:styleId="4">
    <w:name w:val="index heading"/>
    <w:basedOn w:val="1"/>
    <w:next w:val="5"/>
    <w:uiPriority w:val="0"/>
  </w:style>
  <w:style w:type="paragraph" w:styleId="5">
    <w:name w:val="index 1"/>
    <w:basedOn w:val="1"/>
    <w:next w:val="1"/>
    <w:uiPriority w:val="0"/>
    <w:pPr>
      <w:tabs>
        <w:tab w:val="clear" w:pos="720"/>
      </w:tabs>
      <w:spacing w:before="120" w:beforeLines="50" w:after="120" w:afterLines="50"/>
    </w:pPr>
  </w:style>
  <w:style w:type="paragraph" w:styleId="6">
    <w:name w:val="Title"/>
    <w:basedOn w:val="1"/>
    <w:qFormat/>
    <w:uiPriority w:val="0"/>
    <w:pPr>
      <w:jc w:val="center"/>
    </w:pPr>
    <w:rPr>
      <w:b/>
      <w:caps/>
      <w:kern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2015-12-21T07:47:00Z</dcterms:created>
  <dc:creator>gly</dc:creator>
  <cp:lastModifiedBy>gly</cp:lastModifiedBy>
  <dcterms:modified xsi:type="dcterms:W3CDTF">2015-12-21T07:47:46Z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