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6"/>
        <w:tblW w:w="9072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3"/>
        <w:gridCol w:w="2629"/>
      </w:tblGrid>
      <w:tr>
        <w:tblPrEx>
          <w:tblLayout w:type="fixed"/>
        </w:tblPrEx>
        <w:trPr>
          <w:cantSplit/>
        </w:trPr>
        <w:tc>
          <w:tcPr>
            <w:tcW w:w="6443" w:type="dxa"/>
            <w:vMerge w:val="restart"/>
            <w:vAlign w:val="top"/>
          </w:tcPr>
          <w:p>
            <w:pPr>
              <w:spacing w:line="360" w:lineRule="auto"/>
              <w:jc w:val="left"/>
              <w:rPr>
                <w:rFonts w:hint="eastAsia"/>
                <w:b/>
                <w:smallCaps/>
                <w:sz w:val="44"/>
              </w:rPr>
            </w:pPr>
            <w:r>
              <w:rPr>
                <w:rFonts w:hint="eastAsia"/>
                <w:b/>
                <w:smallCaps/>
                <w:sz w:val="44"/>
              </w:rPr>
              <w:t>世界贸易组织</w:t>
            </w:r>
          </w:p>
          <w:p>
            <w:pPr>
              <w:jc w:val="left"/>
              <w:rPr>
                <w:b/>
                <w:smallCaps/>
                <w:sz w:val="18"/>
              </w:rPr>
            </w:pPr>
          </w:p>
        </w:tc>
        <w:tc>
          <w:tcPr>
            <w:tcW w:w="2629" w:type="dxa"/>
            <w:vAlign w:val="top"/>
          </w:tcPr>
          <w:p>
            <w:pPr>
              <w:jc w:val="left"/>
              <w:rPr>
                <w:u w:val="single"/>
              </w:rPr>
            </w:pPr>
          </w:p>
        </w:tc>
      </w:tr>
      <w:tr>
        <w:tblPrEx>
          <w:tblLayout w:type="fixed"/>
        </w:tblPrEx>
        <w:trPr>
          <w:cantSplit/>
          <w:trHeight w:val="120" w:hRule="exact"/>
        </w:trPr>
        <w:tc>
          <w:tcPr>
            <w:tcW w:w="6443" w:type="dxa"/>
            <w:vMerge w:val="continue"/>
            <w:vAlign w:val="top"/>
          </w:tcPr>
          <w:p>
            <w:pPr>
              <w:spacing w:before="240" w:line="380" w:lineRule="exact"/>
              <w:jc w:val="left"/>
            </w:pPr>
          </w:p>
        </w:tc>
        <w:tc>
          <w:tcPr>
            <w:tcW w:w="2629" w:type="dxa"/>
            <w:vAlign w:val="top"/>
          </w:tcPr>
          <w:p>
            <w:pPr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43" w:type="dxa"/>
            <w:vMerge w:val="continue"/>
            <w:vAlign w:val="top"/>
          </w:tcPr>
          <w:p>
            <w:pPr>
              <w:spacing w:before="240" w:line="380" w:lineRule="exact"/>
              <w:jc w:val="left"/>
              <w:rPr>
                <w:smallCaps/>
                <w:sz w:val="44"/>
              </w:rPr>
            </w:pPr>
          </w:p>
        </w:tc>
        <w:tc>
          <w:tcPr>
            <w:tcW w:w="2629" w:type="dxa"/>
            <w:vAlign w:val="top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b/>
              </w:rPr>
              <w:t>G/TBT/N/EU/</w:t>
            </w:r>
            <w:r>
              <w:rPr>
                <w:rFonts w:hint="eastAsia"/>
                <w:b/>
              </w:rPr>
              <w:t>325</w:t>
            </w:r>
          </w:p>
          <w:p>
            <w:pPr>
              <w:jc w:val="left"/>
              <w:rPr>
                <w:rFonts w:hint="eastAsia"/>
              </w:rPr>
            </w:pPr>
            <w:r>
              <w:t>201</w:t>
            </w:r>
            <w:r>
              <w:rPr>
                <w:rFonts w:hint="eastAsia"/>
              </w:rPr>
              <w:t>5年11月25日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3" w:type="dxa"/>
            <w:tcBorders>
              <w:bottom w:val="single" w:color="auto" w:sz="4" w:space="0"/>
            </w:tcBorders>
            <w:vAlign w:val="top"/>
          </w:tcPr>
          <w:p>
            <w:pPr>
              <w:jc w:val="left"/>
            </w:pPr>
          </w:p>
        </w:tc>
        <w:tc>
          <w:tcPr>
            <w:tcW w:w="2629" w:type="dxa"/>
            <w:tcBorders>
              <w:bottom w:val="single" w:color="auto" w:sz="4" w:space="0"/>
            </w:tcBorders>
            <w:vAlign w:val="top"/>
          </w:tcPr>
          <w:p>
            <w:pPr>
              <w:jc w:val="left"/>
              <w:rPr>
                <w:sz w:val="18"/>
              </w:rPr>
            </w:pPr>
            <w:r>
              <w:rPr>
                <w:sz w:val="18"/>
                <w:szCs w:val="18"/>
              </w:rPr>
              <w:t>(1</w:t>
            </w: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-6246)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" w:hRule="exact"/>
        </w:trPr>
        <w:tc>
          <w:tcPr>
            <w:tcW w:w="6443" w:type="dxa"/>
            <w:vAlign w:val="top"/>
          </w:tcPr>
          <w:p>
            <w:pPr>
              <w:jc w:val="left"/>
            </w:pPr>
          </w:p>
        </w:tc>
        <w:tc>
          <w:tcPr>
            <w:tcW w:w="2629" w:type="dxa"/>
            <w:vAlign w:val="top"/>
          </w:tcPr>
          <w:p>
            <w:pPr>
              <w:jc w:val="left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43" w:type="dxa"/>
            <w:vAlign w:val="top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贸易技术壁垒委员会</w:t>
            </w:r>
          </w:p>
        </w:tc>
        <w:tc>
          <w:tcPr>
            <w:tcW w:w="2629" w:type="dxa"/>
            <w:vAlign w:val="top"/>
          </w:tcPr>
          <w:p>
            <w:pPr>
              <w:pStyle w:val="3"/>
              <w:tabs>
                <w:tab w:val="left" w:pos="962"/>
              </w:tabs>
              <w:rPr>
                <w:rFonts w:hint="eastAsia"/>
              </w:rPr>
            </w:pPr>
            <w:r>
              <w:rPr>
                <w:rFonts w:hint="eastAsia"/>
              </w:rPr>
              <w:t>原文：英语</w:t>
            </w:r>
          </w:p>
        </w:tc>
      </w:tr>
    </w:tbl>
    <w:p/>
    <w:p>
      <w:pPr>
        <w:pStyle w:val="4"/>
        <w:rPr>
          <w:rFonts w:hint="eastAsia"/>
          <w:sz w:val="30"/>
        </w:rPr>
      </w:pPr>
      <w:r>
        <w:rPr>
          <w:rFonts w:hint="eastAsia"/>
          <w:sz w:val="30"/>
        </w:rPr>
        <w:t>通             报</w:t>
      </w:r>
    </w:p>
    <w:p/>
    <w:p>
      <w:pPr>
        <w:jc w:val="center"/>
      </w:pPr>
      <w:r>
        <w:rPr>
          <w:rFonts w:hint="eastAsia"/>
        </w:rPr>
        <w:t>以下通报根据TBT协定第</w:t>
      </w:r>
      <w:r>
        <w:t>10.6</w:t>
      </w:r>
      <w:r>
        <w:rPr>
          <w:rFonts w:hint="eastAsia"/>
        </w:rPr>
        <w:t xml:space="preserve"> 条分发</w:t>
      </w:r>
    </w:p>
    <w:p>
      <w:pPr>
        <w:jc w:val="center"/>
      </w:pPr>
    </w:p>
    <w:tbl>
      <w:tblPr>
        <w:tblStyle w:val="6"/>
        <w:tblW w:w="9070" w:type="dxa"/>
        <w:tblInd w:w="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410"/>
        <w:gridCol w:w="425"/>
        <w:gridCol w:w="552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709" w:type="dxa"/>
            <w:tcBorders>
              <w:top w:val="doub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361" w:type="dxa"/>
            <w:gridSpan w:val="3"/>
            <w:tcBorders>
              <w:top w:val="doub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beforeLines="50" w:after="120"/>
              <w:rPr>
                <w:rFonts w:hint="eastAsia"/>
                <w:u w:val="single"/>
              </w:rPr>
            </w:pPr>
            <w:r>
              <w:rPr>
                <w:rFonts w:hint="eastAsia"/>
                <w:b/>
              </w:rPr>
              <w:t>通报成员：</w:t>
            </w:r>
            <w:r>
              <w:rPr>
                <w:rFonts w:hint="eastAsia"/>
                <w:u w:val="single"/>
              </w:rPr>
              <w:t>欧盟</w:t>
            </w:r>
          </w:p>
          <w:p>
            <w:pPr>
              <w:spacing w:after="120"/>
            </w:pPr>
            <w:r>
              <w:rPr>
                <w:rFonts w:hint="eastAsia"/>
                <w:b/>
              </w:rPr>
              <w:t>如可能，列出涉及的地方政府名称</w:t>
            </w:r>
            <w:r>
              <w:rPr>
                <w:b/>
              </w:rPr>
              <w:t xml:space="preserve"> ( 3.2</w:t>
            </w:r>
            <w:r>
              <w:rPr>
                <w:rFonts w:hint="eastAsia"/>
                <w:b/>
              </w:rPr>
              <w:t>条和</w:t>
            </w:r>
            <w:r>
              <w:rPr>
                <w:b/>
              </w:rPr>
              <w:t>7.2</w:t>
            </w:r>
            <w:r>
              <w:rPr>
                <w:rFonts w:hint="eastAsia"/>
                <w:b/>
              </w:rPr>
              <w:t xml:space="preserve"> 条)：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83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pStyle w:val="2"/>
              <w:spacing w:before="120" w:beforeLines="50" w:after="120" w:afterLines="50"/>
              <w:rPr>
                <w:rFonts w:hint="eastAsia"/>
              </w:rPr>
            </w:pPr>
            <w:r>
              <w:rPr>
                <w:rFonts w:hint="eastAsia"/>
              </w:rPr>
              <w:t>负责机构：</w:t>
            </w:r>
            <w:r>
              <w:rPr>
                <w:rFonts w:hint="eastAsia"/>
                <w:b w:val="0"/>
              </w:rPr>
              <w:t>欧盟委员会</w:t>
            </w:r>
            <w:r>
              <w:rPr>
                <w:b w:val="0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3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after="120"/>
            </w:pPr>
            <w:r>
              <w:rPr>
                <w:rFonts w:hint="eastAsia"/>
                <w:b/>
              </w:rPr>
              <w:t>通报依据的条款</w:t>
            </w:r>
            <w:r>
              <w:rPr>
                <w:b/>
              </w:rPr>
              <w:t xml:space="preserve"> 2.9.2 [X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], 2.10.1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zh-CN" w:eastAsia="zh-CN"/>
              </w:rPr>
              <w:t> </w:t>
            </w:r>
            <w:r>
              <w:fldChar w:fldCharType="end"/>
            </w:r>
            <w:r>
              <w:rPr>
                <w:b/>
              </w:rPr>
              <w:t>], 5.6.2 [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], 5.7.1 [ </w:t>
            </w:r>
            <w:r>
              <w:fldChar w:fldCharType="begin">
                <w:ffData>
                  <w:name w:val="Text1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zh-CN" w:eastAsia="zh-CN"/>
              </w:rPr>
              <w:t> </w:t>
            </w:r>
            <w:r>
              <w:fldChar w:fldCharType="end"/>
            </w:r>
            <w:r>
              <w:rPr>
                <w:b/>
              </w:rPr>
              <w:t xml:space="preserve">], </w:t>
            </w:r>
            <w:r>
              <w:rPr>
                <w:rFonts w:hint="eastAsia"/>
                <w:b/>
              </w:rPr>
              <w:t>其他</w:t>
            </w:r>
            <w:r>
              <w:rPr>
                <w:b/>
              </w:rPr>
              <w:t>:</w:t>
            </w:r>
            <w:r>
              <w:t xml:space="preserve">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lang w:val="zh-CN" w:eastAsia="zh-CN"/>
              </w:rPr>
              <w:t>     </w:t>
            </w:r>
            <w:r>
              <w:fldChar w:fldCharType="end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3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覆盖的产品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 xml:space="preserve"> 如可能，提供产品的</w:t>
            </w:r>
            <w:r>
              <w:rPr>
                <w:b/>
              </w:rPr>
              <w:t xml:space="preserve">HS </w:t>
            </w:r>
            <w:r>
              <w:rPr>
                <w:rFonts w:hint="eastAsia"/>
                <w:b/>
              </w:rPr>
              <w:t>或</w:t>
            </w:r>
            <w:r>
              <w:rPr>
                <w:b/>
              </w:rPr>
              <w:t xml:space="preserve"> CCCN</w:t>
            </w:r>
            <w:r>
              <w:rPr>
                <w:rFonts w:hint="eastAsia"/>
                <w:b/>
              </w:rPr>
              <w:t>编码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否则提供国家减让表中所列关税税目号。如可能，可另提供国际标准分类</w:t>
            </w:r>
            <w:r>
              <w:rPr>
                <w:b/>
              </w:rPr>
              <w:t>ICS</w:t>
            </w:r>
            <w:r>
              <w:rPr>
                <w:rFonts w:hint="eastAsia"/>
                <w:b/>
              </w:rPr>
              <w:t>号)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危险物质</w:t>
            </w:r>
          </w:p>
          <w:p>
            <w:pPr>
              <w:spacing w:after="120" w:afterLines="50"/>
              <w:jc w:val="left"/>
              <w:rPr>
                <w:rFonts w:hint="eastAsia"/>
              </w:rPr>
            </w:pPr>
            <w:r>
              <w:rPr>
                <w:rFonts w:ascii="CG Times" w:hAnsi="CG Times"/>
                <w:b/>
                <w:color w:val="000000"/>
              </w:rPr>
              <w:t>ICS:</w:t>
            </w:r>
            <w:r>
              <w:rPr>
                <w:rFonts w:ascii="CG Times" w:hAnsi="CG Times"/>
                <w:color w:val="000000"/>
              </w:rPr>
              <w:t xml:space="preserve">     </w:t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ascii="CG Times" w:hAnsi="CG Times"/>
                <w:color w:val="000000"/>
              </w:rPr>
              <w:tab/>
            </w:r>
            <w:r>
              <w:rPr>
                <w:rFonts w:hint="eastAsia" w:ascii="CG Times" w:hAnsi="CG Times"/>
                <w:color w:val="000000"/>
              </w:rPr>
              <w:t xml:space="preserve">          </w:t>
            </w:r>
            <w:r>
              <w:rPr>
                <w:rFonts w:ascii="CG Times" w:hAnsi="CG Times"/>
                <w:b/>
                <w:color w:val="000000"/>
              </w:rPr>
              <w:t>HS:</w:t>
            </w:r>
            <w:r>
              <w:rPr>
                <w:rFonts w:ascii="CG Times" w:hAnsi="CG Times"/>
                <w:color w:val="000000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3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after="12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通报文件的标题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页数和使用语言</w:t>
            </w:r>
            <w:r>
              <w:rPr>
                <w:b/>
              </w:rPr>
              <w:t>:</w:t>
            </w:r>
            <w:r>
              <w:rPr>
                <w:rFonts w:hint="eastAsia"/>
              </w:rPr>
              <w:t xml:space="preserve"> 欧盟委员会法规草案，为了适应科技进步修订欧洲议会和理事会法规(EC) No 1272/2008关于物质和混合物的分类、标签和包装（4页+附录10页，英语）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3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beforeLines="50"/>
              <w:ind w:left="110" w:hanging="110" w:hangingChars="50"/>
              <w:rPr>
                <w:rFonts w:hint="eastAsia"/>
              </w:rPr>
            </w:pPr>
            <w:r>
              <w:rPr>
                <w:rFonts w:hint="eastAsia"/>
                <w:b/>
              </w:rPr>
              <w:t>内容简述</w:t>
            </w:r>
            <w:r>
              <w:rPr>
                <w:b/>
              </w:rPr>
              <w:t>:</w:t>
            </w:r>
            <w:r>
              <w:rPr>
                <w:rFonts w:hint="eastAsia"/>
              </w:rPr>
              <w:t xml:space="preserve"> 为适应法规(EC) No 1272/2008关于物质和混合物的分类、标签和包装（</w:t>
            </w:r>
            <w:r>
              <w:t>CLP</w:t>
            </w:r>
            <w:r>
              <w:rPr>
                <w:rFonts w:hint="eastAsia"/>
              </w:rPr>
              <w:t>法规）的技术进步，本提案草案第9版旨在修订</w:t>
            </w:r>
            <w:r>
              <w:t>CLP</w:t>
            </w:r>
            <w:r>
              <w:rPr>
                <w:rFonts w:hint="eastAsia"/>
              </w:rPr>
              <w:t>法规附录VI，以包括属于统一分类的47种物质的最新分类和包括新的统一分类。</w:t>
            </w:r>
          </w:p>
          <w:p>
            <w:pPr>
              <w:spacing w:after="120" w:afterLines="50"/>
              <w:ind w:left="108" w:hanging="108" w:hangingChars="50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spacing w:val="-2"/>
                <w:szCs w:val="22"/>
              </w:rPr>
              <w:t>提案还删除了包含统一分类清单的表</w:t>
            </w:r>
            <w:r>
              <w:t>3.2</w:t>
            </w:r>
            <w:r>
              <w:rPr>
                <w:rFonts w:hint="eastAsia"/>
              </w:rPr>
              <w:t>及基于理事会指令</w:t>
            </w:r>
            <w:r>
              <w:t>67/548/EEC</w:t>
            </w:r>
            <w:r>
              <w:rPr>
                <w:rFonts w:hint="eastAsia"/>
              </w:rPr>
              <w:t>附录VI规定标准的危险物质标签，由于指令</w:t>
            </w:r>
            <w:r>
              <w:t>67/548/EEC</w:t>
            </w:r>
            <w:r>
              <w:rPr>
                <w:rFonts w:hint="eastAsia"/>
              </w:rPr>
              <w:t>已于2015年6月1日撤销。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3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beforeLines="50"/>
              <w:ind w:left="110" w:hanging="110" w:hangingChars="50"/>
              <w:rPr>
                <w:rFonts w:hint="eastAsia"/>
                <w:bCs/>
                <w:spacing w:val="-2"/>
                <w:szCs w:val="22"/>
              </w:rPr>
            </w:pPr>
            <w:r>
              <w:rPr>
                <w:rFonts w:hint="eastAsia"/>
                <w:b/>
              </w:rPr>
              <w:t>目标和理由</w:t>
            </w:r>
            <w:r>
              <w:rPr>
                <w:b/>
              </w:rPr>
              <w:t xml:space="preserve">, </w:t>
            </w:r>
            <w:r>
              <w:rPr>
                <w:rFonts w:hint="eastAsia"/>
                <w:b/>
              </w:rPr>
              <w:t>如是紧急措施，说明紧急问题的性质</w:t>
            </w:r>
            <w:r>
              <w:rPr>
                <w:b/>
              </w:rPr>
              <w:t>:</w:t>
            </w:r>
            <w:r>
              <w:rPr>
                <w:bCs/>
                <w:spacing w:val="-2"/>
                <w:szCs w:val="22"/>
              </w:rPr>
              <w:t xml:space="preserve"> </w:t>
            </w:r>
            <w:r>
              <w:rPr>
                <w:rFonts w:hint="eastAsia"/>
              </w:rPr>
              <w:t>保护人类健康和环境，确保</w:t>
            </w:r>
            <w:r>
              <w:rPr>
                <w:rFonts w:hint="eastAsia"/>
                <w:bCs/>
                <w:spacing w:val="-2"/>
                <w:szCs w:val="22"/>
              </w:rPr>
              <w:t>欧盟</w:t>
            </w:r>
          </w:p>
          <w:p>
            <w:pPr>
              <w:spacing w:after="120" w:afterLines="50"/>
              <w:ind w:left="108" w:hanging="108" w:hangingChars="50"/>
              <w:rPr>
                <w:rFonts w:hint="eastAsia"/>
                <w:bCs/>
                <w:spacing w:val="-2"/>
                <w:szCs w:val="22"/>
              </w:rPr>
            </w:pPr>
            <w:r>
              <w:rPr>
                <w:rFonts w:hint="eastAsia"/>
                <w:bCs/>
                <w:spacing w:val="-2"/>
                <w:szCs w:val="22"/>
              </w:rPr>
              <w:t>内部</w:t>
            </w:r>
            <w:r>
              <w:rPr>
                <w:rFonts w:hint="eastAsia"/>
              </w:rPr>
              <w:t>市场的正确机制。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3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beforeLines="50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相关文件</w:t>
            </w:r>
            <w:r>
              <w:rPr>
                <w:b/>
              </w:rPr>
              <w:t>: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</w:rPr>
              <w:t>法规(EC) No 1272/2008关于物质和混合物的分类、标签和包装及修订和废止指令67/548/EEC和1999/45/EC，并修订法规(EC) No 1907/2006</w:t>
            </w:r>
            <w:r>
              <w:rPr>
                <w:rFonts w:hint="eastAsia"/>
                <w:b/>
              </w:rPr>
              <w:t>(</w:t>
            </w:r>
            <w:r>
              <w:t>OJ L 353, 31.12.2008, p. 1</w:t>
            </w:r>
            <w:r>
              <w:rPr>
                <w:rFonts w:hint="eastAsia"/>
                <w:b/>
              </w:rPr>
              <w:t>):</w:t>
            </w:r>
          </w:p>
          <w:p>
            <w:pPr>
              <w:spacing w:after="120" w:afterLines="50"/>
              <w:rPr>
                <w:rFonts w:hint="eastAsia"/>
              </w:rPr>
            </w:pPr>
            <w:r>
              <w:t>http://eur-lex.europa.eu/LexUriServ/LexUriServ.do?uri=OJ:L:2008:353:0001:1355:EN:PDF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拟批准日期</w:t>
            </w:r>
            <w:r>
              <w:rPr>
                <w:b/>
              </w:rPr>
              <w:t xml:space="preserve">:  </w:t>
            </w:r>
          </w:p>
          <w:p>
            <w:pPr>
              <w:spacing w:after="120"/>
              <w:jc w:val="left"/>
              <w:rPr>
                <w:rFonts w:hint="eastAsia"/>
              </w:rPr>
            </w:pPr>
            <w:r>
              <w:rPr>
                <w:rFonts w:hint="eastAsia"/>
                <w:b/>
              </w:rPr>
              <w:t>拟生效日期</w:t>
            </w:r>
            <w:r>
              <w:rPr>
                <w:b/>
              </w:rPr>
              <w:t xml:space="preserve">: </w:t>
            </w:r>
            <w:r>
              <w:rPr>
                <w:rFonts w:hint="eastAsia"/>
                <w:b/>
              </w:rPr>
              <w:t xml:space="preserve"> </w:t>
            </w:r>
          </w:p>
        </w:tc>
        <w:tc>
          <w:tcPr>
            <w:tcW w:w="425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rFonts w:hint="eastAsia"/>
                <w:sz w:val="40"/>
              </w:rPr>
            </w:pPr>
          </w:p>
        </w:tc>
        <w:tc>
          <w:tcPr>
            <w:tcW w:w="552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120"/>
              <w:rPr>
                <w:rFonts w:hint="eastAsia"/>
              </w:rPr>
            </w:pPr>
            <w:r>
              <w:rPr>
                <w:spacing w:val="-2"/>
                <w:szCs w:val="22"/>
              </w:rPr>
              <w:t>201</w:t>
            </w:r>
            <w:r>
              <w:rPr>
                <w:rFonts w:hint="eastAsia"/>
                <w:spacing w:val="-2"/>
                <w:szCs w:val="22"/>
              </w:rPr>
              <w:t>6年2季度</w:t>
            </w:r>
          </w:p>
          <w:p>
            <w:pPr>
              <w:spacing w:after="120"/>
              <w:rPr>
                <w:rFonts w:hint="eastAsia"/>
                <w:spacing w:val="-2"/>
                <w:szCs w:val="22"/>
              </w:rPr>
            </w:pPr>
            <w:r>
              <w:rPr>
                <w:rFonts w:hint="eastAsia"/>
                <w:spacing w:val="-2"/>
                <w:szCs w:val="22"/>
              </w:rPr>
              <w:t>在欧盟官方公报上公布之后20天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36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提意见截止日期</w:t>
            </w:r>
            <w:r>
              <w:rPr>
                <w:b/>
              </w:rPr>
              <w:t>:</w:t>
            </w:r>
            <w:r>
              <w:t xml:space="preserve"> </w:t>
            </w:r>
            <w:r>
              <w:rPr>
                <w:rFonts w:hint="eastAsia"/>
              </w:rPr>
              <w:t>通报之后60天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  <w:bottom w:val="double" w:color="auto" w:sz="4" w:space="0"/>
            </w:tcBorders>
            <w:vAlign w:val="top"/>
          </w:tcPr>
          <w:p>
            <w:pPr>
              <w:spacing w:before="120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8361" w:type="dxa"/>
            <w:gridSpan w:val="3"/>
            <w:tcBorders>
              <w:top w:val="single" w:color="auto" w:sz="4" w:space="0"/>
              <w:bottom w:val="double" w:color="auto" w:sz="4" w:space="0"/>
            </w:tcBorders>
            <w:vAlign w:val="top"/>
          </w:tcPr>
          <w:p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  <w:b/>
              </w:rPr>
              <w:t>文本可从以下机构得到：国家咨询点</w:t>
            </w:r>
            <w:r>
              <w:rPr>
                <w:b/>
              </w:rPr>
              <w:t xml:space="preserve"> [</w:t>
            </w:r>
            <w:r>
              <w:t>X</w:t>
            </w:r>
            <w:r>
              <w:rPr>
                <w:b/>
              </w:rPr>
              <w:t xml:space="preserve">] </w:t>
            </w:r>
            <w:r>
              <w:rPr>
                <w:rFonts w:hint="eastAsia"/>
                <w:b/>
              </w:rPr>
              <w:t>或其他机构，地址、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电话和传真号</w:t>
            </w:r>
            <w:r>
              <w:rPr>
                <w:b/>
              </w:rPr>
              <w:t xml:space="preserve">, e-mail </w:t>
            </w:r>
            <w:r>
              <w:rPr>
                <w:rFonts w:hint="eastAsia"/>
                <w:b/>
              </w:rPr>
              <w:t>地址和网址</w:t>
            </w:r>
            <w:r>
              <w:rPr>
                <w:b/>
              </w:rPr>
              <w:t xml:space="preserve">:  </w:t>
            </w:r>
          </w:p>
        </w:tc>
      </w:tr>
    </w:tbl>
    <w:p>
      <w:pPr>
        <w:tabs>
          <w:tab w:val="clear" w:pos="720"/>
        </w:tabs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  <w:font w:name="CG Times">
    <w:altName w:val="Times New Roman"/>
    <w:panose1 w:val="02020603050405020304"/>
    <w:charset w:val="00"/>
    <w:family w:val="modern"/>
    <w:pitch w:val="default"/>
    <w:sig w:usb0="00000000" w:usb1="00000000" w:usb2="00000000" w:usb3="00000000" w:csb0="00000093" w:csb1="00000000"/>
  </w:font>
  <w:font w:name="TimesNewRoman">
    <w:altName w:val="Segoe Print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F5EDA"/>
    <w:rsid w:val="277F5ED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tabs>
        <w:tab w:val="left" w:pos="720"/>
      </w:tabs>
      <w:jc w:val="both"/>
    </w:pPr>
    <w:rPr>
      <w:sz w:val="22"/>
      <w:szCs w:val="22"/>
      <w:lang w:val="en-GB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iPriority w:val="0"/>
    <w:rPr>
      <w:b/>
    </w:rPr>
  </w:style>
  <w:style w:type="paragraph" w:styleId="3">
    <w:name w:val="header"/>
    <w:basedOn w:val="1"/>
    <w:uiPriority w:val="0"/>
    <w:pPr>
      <w:tabs>
        <w:tab w:val="center" w:pos="4513"/>
        <w:tab w:val="right" w:pos="9027"/>
        <w:tab w:val="clear" w:pos="720"/>
      </w:tabs>
      <w:jc w:val="left"/>
    </w:pPr>
  </w:style>
  <w:style w:type="paragraph" w:styleId="4">
    <w:name w:val="Title"/>
    <w:basedOn w:val="1"/>
    <w:qFormat/>
    <w:uiPriority w:val="0"/>
    <w:pPr>
      <w:jc w:val="center"/>
    </w:pPr>
    <w:rPr>
      <w:b/>
      <w:caps/>
      <w:kern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2015-12-21T07:35:00Z</dcterms:created>
  <dc:creator>gly</dc:creator>
  <cp:lastModifiedBy>gly</cp:lastModifiedBy>
  <dcterms:modified xsi:type="dcterms:W3CDTF">2015-12-21T07:36:18Z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