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818"/>
        <w:gridCol w:w="2141"/>
        <w:gridCol w:w="3283"/>
      </w:tblGrid>
      <w:tr w:rsidR="00D25149" w:rsidRPr="002E0886" w:rsidTr="00A54874">
        <w:trPr>
          <w:trHeight w:val="240"/>
          <w:jc w:val="center"/>
        </w:trPr>
        <w:tc>
          <w:tcPr>
            <w:tcW w:w="3818" w:type="dxa"/>
            <w:shd w:val="clear" w:color="auto" w:fill="FFFFFF"/>
            <w:tcMar>
              <w:top w:w="0" w:type="dxa"/>
              <w:left w:w="108" w:type="dxa"/>
              <w:bottom w:w="0" w:type="dxa"/>
              <w:right w:w="108" w:type="dxa"/>
            </w:tcMar>
            <w:vAlign w:val="center"/>
          </w:tcPr>
          <w:p w:rsidR="00D25149" w:rsidRPr="002E0886" w:rsidRDefault="00D25149" w:rsidP="00A54874">
            <w:pPr>
              <w:rPr>
                <w:noProof/>
                <w:szCs w:val="18"/>
                <w:lang w:eastAsia="en-GB"/>
              </w:rPr>
            </w:pPr>
            <w:bookmarkStart w:id="0" w:name="bmkRestricted" w:colFirst="1" w:colLast="1"/>
          </w:p>
        </w:tc>
        <w:tc>
          <w:tcPr>
            <w:tcW w:w="5424" w:type="dxa"/>
            <w:gridSpan w:val="2"/>
            <w:shd w:val="clear" w:color="auto" w:fill="FFFFFF"/>
            <w:tcMar>
              <w:top w:w="0" w:type="dxa"/>
              <w:left w:w="108" w:type="dxa"/>
              <w:bottom w:w="0" w:type="dxa"/>
              <w:right w:w="108" w:type="dxa"/>
            </w:tcMar>
            <w:vAlign w:val="center"/>
          </w:tcPr>
          <w:p w:rsidR="00D25149" w:rsidRPr="002E0886" w:rsidRDefault="00D25149" w:rsidP="00A54874">
            <w:pPr>
              <w:jc w:val="right"/>
              <w:rPr>
                <w:b/>
                <w:color w:val="FF0000"/>
                <w:szCs w:val="18"/>
              </w:rPr>
            </w:pPr>
            <w:r w:rsidRPr="002E0886">
              <w:rPr>
                <w:b/>
                <w:color w:val="FF0000"/>
                <w:szCs w:val="18"/>
              </w:rPr>
              <w:t xml:space="preserve"> </w:t>
            </w:r>
          </w:p>
        </w:tc>
      </w:tr>
      <w:bookmarkEnd w:id="0"/>
      <w:tr w:rsidR="00D25149" w:rsidRPr="002E0886" w:rsidTr="00A54874">
        <w:trPr>
          <w:trHeight w:val="213"/>
          <w:jc w:val="center"/>
        </w:trPr>
        <w:tc>
          <w:tcPr>
            <w:tcW w:w="3818" w:type="dxa"/>
            <w:vMerge w:val="restart"/>
            <w:shd w:val="clear" w:color="auto" w:fill="FFFFFF"/>
          </w:tcPr>
          <w:p w:rsidR="00D25149" w:rsidRPr="002E0886" w:rsidRDefault="00D25149" w:rsidP="00A54874">
            <w:pPr>
              <w:jc w:val="left"/>
              <w:rPr>
                <w:szCs w:val="18"/>
              </w:rPr>
            </w:pPr>
            <w:r>
              <w:rPr>
                <w:noProof/>
                <w:szCs w:val="18"/>
                <w:lang w:val="en-US" w:eastAsia="zh-CN"/>
              </w:rPr>
              <w:drawing>
                <wp:inline distT="0" distB="0" distL="0" distR="0" wp14:anchorId="31C83BD5" wp14:editId="69AC338B">
                  <wp:extent cx="2422525" cy="716280"/>
                  <wp:effectExtent l="0" t="0" r="0" b="0"/>
                  <wp:docPr id="1" name="图片 1" descr="WTO_COLO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O_COLOR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2525" cy="716280"/>
                          </a:xfrm>
                          <a:prstGeom prst="rect">
                            <a:avLst/>
                          </a:prstGeom>
                          <a:noFill/>
                          <a:ln>
                            <a:noFill/>
                          </a:ln>
                        </pic:spPr>
                      </pic:pic>
                    </a:graphicData>
                  </a:graphic>
                </wp:inline>
              </w:drawing>
            </w:r>
          </w:p>
        </w:tc>
        <w:tc>
          <w:tcPr>
            <w:tcW w:w="5424" w:type="dxa"/>
            <w:gridSpan w:val="2"/>
            <w:shd w:val="clear" w:color="auto" w:fill="FFFFFF"/>
            <w:tcMar>
              <w:top w:w="0" w:type="dxa"/>
              <w:left w:w="108" w:type="dxa"/>
              <w:bottom w:w="0" w:type="dxa"/>
              <w:right w:w="108" w:type="dxa"/>
            </w:tcMar>
          </w:tcPr>
          <w:p w:rsidR="00D25149" w:rsidRPr="002E0886" w:rsidRDefault="00D25149" w:rsidP="00A54874">
            <w:pPr>
              <w:jc w:val="right"/>
              <w:rPr>
                <w:b/>
                <w:szCs w:val="18"/>
              </w:rPr>
            </w:pPr>
          </w:p>
        </w:tc>
      </w:tr>
      <w:tr w:rsidR="00D25149" w:rsidRPr="002E0886" w:rsidTr="00A54874">
        <w:trPr>
          <w:trHeight w:val="868"/>
          <w:jc w:val="center"/>
        </w:trPr>
        <w:tc>
          <w:tcPr>
            <w:tcW w:w="3818" w:type="dxa"/>
            <w:vMerge/>
            <w:shd w:val="clear" w:color="auto" w:fill="auto"/>
            <w:vAlign w:val="center"/>
          </w:tcPr>
          <w:p w:rsidR="00D25149" w:rsidRPr="002E0886" w:rsidRDefault="00D25149" w:rsidP="00A54874">
            <w:pPr>
              <w:jc w:val="left"/>
              <w:rPr>
                <w:szCs w:val="18"/>
              </w:rPr>
            </w:pPr>
          </w:p>
        </w:tc>
        <w:tc>
          <w:tcPr>
            <w:tcW w:w="5424" w:type="dxa"/>
            <w:gridSpan w:val="2"/>
            <w:shd w:val="clear" w:color="auto" w:fill="FFFFFF"/>
            <w:tcMar>
              <w:top w:w="0" w:type="dxa"/>
              <w:left w:w="108" w:type="dxa"/>
              <w:bottom w:w="0" w:type="dxa"/>
              <w:right w:w="108" w:type="dxa"/>
            </w:tcMar>
          </w:tcPr>
          <w:p w:rsidR="00D25149" w:rsidRPr="002E0886" w:rsidRDefault="00D25149" w:rsidP="00A54874">
            <w:pPr>
              <w:jc w:val="right"/>
              <w:rPr>
                <w:b/>
                <w:szCs w:val="18"/>
              </w:rPr>
            </w:pPr>
            <w:bookmarkStart w:id="1" w:name="bmkSymbols"/>
            <w:r w:rsidRPr="002E0886">
              <w:rPr>
                <w:b/>
                <w:szCs w:val="18"/>
              </w:rPr>
              <w:t>G/SPS/N/CRI/155/Add.1</w:t>
            </w:r>
          </w:p>
          <w:bookmarkEnd w:id="1"/>
          <w:p w:rsidR="00D25149" w:rsidRPr="002E0886" w:rsidRDefault="00D25149" w:rsidP="00A54874">
            <w:pPr>
              <w:jc w:val="right"/>
              <w:rPr>
                <w:b/>
                <w:szCs w:val="18"/>
              </w:rPr>
            </w:pPr>
          </w:p>
        </w:tc>
      </w:tr>
      <w:tr w:rsidR="00D25149" w:rsidRPr="002E0886" w:rsidTr="00A54874">
        <w:trPr>
          <w:trHeight w:val="240"/>
          <w:jc w:val="center"/>
        </w:trPr>
        <w:tc>
          <w:tcPr>
            <w:tcW w:w="3818" w:type="dxa"/>
            <w:vMerge/>
            <w:shd w:val="clear" w:color="auto" w:fill="auto"/>
            <w:vAlign w:val="center"/>
          </w:tcPr>
          <w:p w:rsidR="00D25149" w:rsidRPr="002E0886" w:rsidRDefault="00D25149" w:rsidP="00A54874">
            <w:pPr>
              <w:jc w:val="left"/>
              <w:rPr>
                <w:szCs w:val="18"/>
              </w:rPr>
            </w:pPr>
          </w:p>
        </w:tc>
        <w:tc>
          <w:tcPr>
            <w:tcW w:w="5424" w:type="dxa"/>
            <w:gridSpan w:val="2"/>
            <w:shd w:val="clear" w:color="auto" w:fill="FFFFFF"/>
            <w:tcMar>
              <w:top w:w="0" w:type="dxa"/>
              <w:left w:w="108" w:type="dxa"/>
              <w:bottom w:w="0" w:type="dxa"/>
              <w:right w:w="108" w:type="dxa"/>
            </w:tcMar>
            <w:vAlign w:val="center"/>
          </w:tcPr>
          <w:p w:rsidR="00D25149" w:rsidRPr="002E0886" w:rsidRDefault="00D25149" w:rsidP="00A54874">
            <w:pPr>
              <w:jc w:val="right"/>
              <w:rPr>
                <w:szCs w:val="18"/>
              </w:rPr>
            </w:pPr>
            <w:r>
              <w:rPr>
                <w:szCs w:val="18"/>
              </w:rPr>
              <w:t>21 May 2015</w:t>
            </w:r>
          </w:p>
        </w:tc>
      </w:tr>
      <w:tr w:rsidR="00D25149" w:rsidRPr="002E0886" w:rsidTr="00A54874">
        <w:trPr>
          <w:trHeight w:val="412"/>
          <w:jc w:val="center"/>
        </w:trPr>
        <w:tc>
          <w:tcPr>
            <w:tcW w:w="5959" w:type="dxa"/>
            <w:gridSpan w:val="2"/>
            <w:tcBorders>
              <w:top w:val="nil"/>
              <w:left w:val="nil"/>
              <w:bottom w:val="single" w:sz="4" w:space="0" w:color="auto"/>
              <w:right w:val="nil"/>
            </w:tcBorders>
            <w:tcMar>
              <w:top w:w="0" w:type="dxa"/>
              <w:left w:w="108" w:type="dxa"/>
              <w:bottom w:w="57" w:type="dxa"/>
              <w:right w:w="108" w:type="dxa"/>
            </w:tcMar>
            <w:vAlign w:val="bottom"/>
          </w:tcPr>
          <w:p w:rsidR="00D25149" w:rsidRPr="002E0886" w:rsidRDefault="00D25149" w:rsidP="00A54874">
            <w:pPr>
              <w:jc w:val="left"/>
              <w:rPr>
                <w:b/>
                <w:szCs w:val="18"/>
              </w:rPr>
            </w:pPr>
            <w:bookmarkStart w:id="2" w:name="bmkSerial"/>
            <w:r w:rsidRPr="002E0886">
              <w:rPr>
                <w:color w:val="FF0000"/>
                <w:szCs w:val="18"/>
              </w:rPr>
              <w:t>(</w:t>
            </w:r>
            <w:r>
              <w:rPr>
                <w:color w:val="FF0000"/>
                <w:szCs w:val="18"/>
              </w:rPr>
              <w:t>15-2651</w:t>
            </w:r>
            <w:r w:rsidRPr="002E0886">
              <w:rPr>
                <w:color w:val="FF0000"/>
                <w:szCs w:val="18"/>
              </w:rPr>
              <w:t>)</w:t>
            </w:r>
            <w:bookmarkEnd w:id="2"/>
          </w:p>
        </w:tc>
        <w:tc>
          <w:tcPr>
            <w:tcW w:w="3283" w:type="dxa"/>
            <w:tcBorders>
              <w:top w:val="nil"/>
              <w:left w:val="nil"/>
              <w:bottom w:val="single" w:sz="4" w:space="0" w:color="auto"/>
              <w:right w:val="nil"/>
            </w:tcBorders>
            <w:tcMar>
              <w:top w:w="0" w:type="dxa"/>
              <w:left w:w="108" w:type="dxa"/>
              <w:bottom w:w="57" w:type="dxa"/>
              <w:right w:w="108" w:type="dxa"/>
            </w:tcMar>
            <w:vAlign w:val="bottom"/>
          </w:tcPr>
          <w:p w:rsidR="00D25149" w:rsidRPr="002E0886" w:rsidRDefault="00D25149" w:rsidP="00A54874">
            <w:pPr>
              <w:jc w:val="right"/>
              <w:rPr>
                <w:szCs w:val="18"/>
              </w:rPr>
            </w:pPr>
            <w:bookmarkStart w:id="3" w:name="bmkTotPages"/>
            <w:r w:rsidRPr="002E0886">
              <w:rPr>
                <w:bCs/>
                <w:szCs w:val="18"/>
              </w:rPr>
              <w:t xml:space="preserve">Page: </w:t>
            </w:r>
            <w:r w:rsidRPr="002E0886">
              <w:rPr>
                <w:szCs w:val="18"/>
              </w:rPr>
              <w:fldChar w:fldCharType="begin"/>
            </w:r>
            <w:r w:rsidRPr="002E0886">
              <w:rPr>
                <w:bCs/>
                <w:szCs w:val="18"/>
              </w:rPr>
              <w:instrText xml:space="preserve"> PAGE  \* Arabic  \* MERGEFORMAT </w:instrText>
            </w:r>
            <w:r w:rsidRPr="002E0886">
              <w:rPr>
                <w:szCs w:val="18"/>
              </w:rPr>
              <w:fldChar w:fldCharType="separate"/>
            </w:r>
            <w:r>
              <w:rPr>
                <w:bCs/>
                <w:noProof/>
                <w:szCs w:val="18"/>
              </w:rPr>
              <w:t>1</w:t>
            </w:r>
            <w:r w:rsidRPr="002E0886">
              <w:rPr>
                <w:szCs w:val="18"/>
              </w:rPr>
              <w:fldChar w:fldCharType="end"/>
            </w:r>
            <w:r w:rsidRPr="002E0886">
              <w:rPr>
                <w:bCs/>
                <w:szCs w:val="18"/>
              </w:rPr>
              <w:t>/</w:t>
            </w:r>
            <w:r w:rsidRPr="002E0886">
              <w:rPr>
                <w:szCs w:val="18"/>
              </w:rPr>
              <w:fldChar w:fldCharType="begin"/>
            </w:r>
            <w:r w:rsidRPr="002E0886">
              <w:rPr>
                <w:bCs/>
                <w:szCs w:val="18"/>
              </w:rPr>
              <w:instrText xml:space="preserve"> NUMPAGES  \* Arabic  \* MERGEFORMAT </w:instrText>
            </w:r>
            <w:r w:rsidRPr="002E0886">
              <w:rPr>
                <w:szCs w:val="18"/>
              </w:rPr>
              <w:fldChar w:fldCharType="separate"/>
            </w:r>
            <w:r>
              <w:rPr>
                <w:bCs/>
                <w:noProof/>
                <w:szCs w:val="18"/>
              </w:rPr>
              <w:t>2</w:t>
            </w:r>
            <w:r w:rsidRPr="002E0886">
              <w:rPr>
                <w:szCs w:val="18"/>
              </w:rPr>
              <w:fldChar w:fldCharType="end"/>
            </w:r>
            <w:bookmarkEnd w:id="3"/>
          </w:p>
        </w:tc>
      </w:tr>
      <w:tr w:rsidR="00D25149" w:rsidRPr="002E0886" w:rsidTr="00A54874">
        <w:trPr>
          <w:trHeight w:val="240"/>
          <w:jc w:val="center"/>
        </w:trPr>
        <w:tc>
          <w:tcPr>
            <w:tcW w:w="5959" w:type="dxa"/>
            <w:gridSpan w:val="2"/>
            <w:tcBorders>
              <w:top w:val="single" w:sz="4" w:space="0" w:color="auto"/>
              <w:left w:val="nil"/>
              <w:bottom w:val="nil"/>
              <w:right w:val="nil"/>
            </w:tcBorders>
            <w:tcMar>
              <w:top w:w="113" w:type="dxa"/>
              <w:left w:w="108" w:type="dxa"/>
              <w:bottom w:w="57" w:type="dxa"/>
              <w:right w:w="108" w:type="dxa"/>
            </w:tcMar>
            <w:vAlign w:val="center"/>
          </w:tcPr>
          <w:p w:rsidR="00D25149" w:rsidRPr="002E0886" w:rsidRDefault="00D25149" w:rsidP="00A54874">
            <w:pPr>
              <w:jc w:val="left"/>
              <w:rPr>
                <w:szCs w:val="18"/>
              </w:rPr>
            </w:pPr>
            <w:bookmarkStart w:id="4" w:name="bmkCommittee"/>
            <w:r w:rsidRPr="002E0886">
              <w:rPr>
                <w:b/>
              </w:rPr>
              <w:t xml:space="preserve">Committee on Sanitary and </w:t>
            </w:r>
            <w:proofErr w:type="spellStart"/>
            <w:r w:rsidRPr="002E0886">
              <w:rPr>
                <w:b/>
              </w:rPr>
              <w:t>Phytosanitary</w:t>
            </w:r>
            <w:proofErr w:type="spellEnd"/>
            <w:r w:rsidRPr="002E0886">
              <w:rPr>
                <w:b/>
              </w:rPr>
              <w:t xml:space="preserve"> Measures</w:t>
            </w:r>
            <w:bookmarkEnd w:id="4"/>
          </w:p>
        </w:tc>
        <w:tc>
          <w:tcPr>
            <w:tcW w:w="3283" w:type="dxa"/>
            <w:tcBorders>
              <w:top w:val="single" w:sz="4" w:space="0" w:color="auto"/>
              <w:left w:val="nil"/>
              <w:bottom w:val="nil"/>
              <w:right w:val="nil"/>
            </w:tcBorders>
            <w:tcMar>
              <w:top w:w="113" w:type="dxa"/>
              <w:left w:w="108" w:type="dxa"/>
              <w:bottom w:w="57" w:type="dxa"/>
              <w:right w:w="108" w:type="dxa"/>
            </w:tcMar>
            <w:vAlign w:val="center"/>
          </w:tcPr>
          <w:p w:rsidR="00D25149" w:rsidRPr="002E0886" w:rsidRDefault="00D25149" w:rsidP="00A54874">
            <w:pPr>
              <w:jc w:val="right"/>
              <w:rPr>
                <w:bCs/>
                <w:szCs w:val="18"/>
              </w:rPr>
            </w:pPr>
            <w:bookmarkStart w:id="5" w:name="bmkLanguage"/>
            <w:r w:rsidRPr="002E0886">
              <w:rPr>
                <w:bCs/>
                <w:szCs w:val="18"/>
              </w:rPr>
              <w:t xml:space="preserve">Original: </w:t>
            </w:r>
            <w:bookmarkEnd w:id="5"/>
            <w:r w:rsidRPr="002E0886">
              <w:rPr>
                <w:bCs/>
                <w:szCs w:val="18"/>
              </w:rPr>
              <w:t>Spanish</w:t>
            </w:r>
          </w:p>
        </w:tc>
      </w:tr>
    </w:tbl>
    <w:p w:rsidR="00D25149" w:rsidRPr="00D25149" w:rsidRDefault="00D25149" w:rsidP="00D25149">
      <w:pPr>
        <w:spacing w:before="480" w:after="240"/>
        <w:contextualSpacing/>
        <w:jc w:val="center"/>
        <w:rPr>
          <w:rFonts w:eastAsia="Times New Roman"/>
          <w:b/>
          <w:caps/>
          <w:color w:val="006283"/>
          <w:kern w:val="28"/>
          <w:szCs w:val="52"/>
        </w:rPr>
      </w:pPr>
      <w:r w:rsidRPr="00D25149">
        <w:rPr>
          <w:rFonts w:eastAsia="Times New Roman"/>
          <w:b/>
          <w:caps/>
          <w:color w:val="006283"/>
          <w:kern w:val="28"/>
          <w:szCs w:val="52"/>
        </w:rPr>
        <w:t>NOTIFICAtioN</w:t>
      </w:r>
    </w:p>
    <w:p w:rsidR="00D25149" w:rsidRPr="00D25149" w:rsidRDefault="00D25149" w:rsidP="00D25149">
      <w:pPr>
        <w:spacing w:after="360"/>
        <w:jc w:val="center"/>
        <w:rPr>
          <w:rFonts w:eastAsia="Calibri"/>
          <w:i/>
          <w:color w:val="006283"/>
          <w:szCs w:val="18"/>
          <w:lang w:eastAsia="en-GB"/>
        </w:rPr>
      </w:pPr>
      <w:r w:rsidRPr="00D25149">
        <w:rPr>
          <w:rFonts w:eastAsia="Calibri"/>
          <w:i/>
          <w:color w:val="006283"/>
          <w:szCs w:val="18"/>
          <w:lang w:eastAsia="en-GB"/>
        </w:rPr>
        <w:t>Addendum</w:t>
      </w:r>
    </w:p>
    <w:p w:rsidR="00D25149" w:rsidRPr="00D25149" w:rsidRDefault="00D25149" w:rsidP="00D25149">
      <w:pPr>
        <w:rPr>
          <w:rFonts w:eastAsiaTheme="minorEastAsia" w:hint="eastAsia"/>
          <w:lang w:eastAsia="zh-CN"/>
        </w:rPr>
      </w:pPr>
      <w:bookmarkStart w:id="6" w:name="spsMember"/>
      <w:r w:rsidRPr="00D25149">
        <w:rPr>
          <w:rFonts w:eastAsia="Verdana"/>
        </w:rPr>
        <w:t xml:space="preserve">The following communication, received on 20 May 2015, is being circulated at the request of the delegation of </w:t>
      </w:r>
      <w:r w:rsidRPr="00D25149">
        <w:rPr>
          <w:rFonts w:eastAsia="Verdana"/>
          <w:u w:val="single"/>
        </w:rPr>
        <w:t>Costa Rica</w:t>
      </w:r>
      <w:bookmarkEnd w:id="6"/>
      <w:r w:rsidRPr="00D25149">
        <w:rPr>
          <w:rFonts w:eastAsia="Verdana"/>
        </w:rPr>
        <w:t>.</w:t>
      </w:r>
    </w:p>
    <w:tbl>
      <w:tblPr>
        <w:tblW w:w="9242" w:type="dxa"/>
        <w:tblLayout w:type="fixed"/>
        <w:tblLook w:val="01E0" w:firstRow="1" w:lastRow="1" w:firstColumn="1" w:lastColumn="1" w:noHBand="0" w:noVBand="0"/>
      </w:tblPr>
      <w:tblGrid>
        <w:gridCol w:w="9242"/>
      </w:tblGrid>
      <w:tr w:rsidR="00D25149" w:rsidRPr="00D25149" w:rsidTr="00A54874">
        <w:tc>
          <w:tcPr>
            <w:tcW w:w="9242" w:type="dxa"/>
          </w:tcPr>
          <w:p w:rsidR="00D25149" w:rsidRPr="00D25149" w:rsidRDefault="00D25149" w:rsidP="00D25149">
            <w:pPr>
              <w:spacing w:after="240"/>
              <w:rPr>
                <w:rFonts w:eastAsia="Verdana"/>
                <w:u w:val="single"/>
              </w:rPr>
            </w:pPr>
            <w:r w:rsidRPr="00D25149">
              <w:rPr>
                <w:rFonts w:eastAsia="Verdana"/>
                <w:u w:val="single"/>
              </w:rPr>
              <w:t xml:space="preserve">Regulation on the use and control of raw materials and formulated products containing the agricultural pesticide </w:t>
            </w:r>
            <w:proofErr w:type="spellStart"/>
            <w:r w:rsidRPr="00D25149">
              <w:rPr>
                <w:rFonts w:eastAsia="Verdana"/>
                <w:u w:val="single"/>
              </w:rPr>
              <w:t>endosulfan</w:t>
            </w:r>
            <w:proofErr w:type="spellEnd"/>
          </w:p>
        </w:tc>
      </w:tr>
      <w:tr w:rsidR="00D25149" w:rsidRPr="00D25149" w:rsidTr="00A54874">
        <w:tc>
          <w:tcPr>
            <w:tcW w:w="9242" w:type="dxa"/>
          </w:tcPr>
          <w:p w:rsidR="00D25149" w:rsidRPr="00D25149" w:rsidRDefault="00D25149" w:rsidP="00D25149">
            <w:pPr>
              <w:spacing w:after="240"/>
              <w:rPr>
                <w:rFonts w:eastAsia="Verdana"/>
              </w:rPr>
            </w:pPr>
            <w:bookmarkStart w:id="7" w:name="spsMeasure"/>
            <w:r w:rsidRPr="00D25149">
              <w:rPr>
                <w:rFonts w:eastAsia="Verdana"/>
              </w:rPr>
              <w:t xml:space="preserve">The notified Decree regulates the use, sale, handling, formulation and repacking of raw materials and formulated products containing the pesticide </w:t>
            </w:r>
            <w:proofErr w:type="spellStart"/>
            <w:r w:rsidRPr="00D25149">
              <w:rPr>
                <w:rFonts w:eastAsia="Verdana"/>
              </w:rPr>
              <w:t>endosulfan</w:t>
            </w:r>
            <w:proofErr w:type="spellEnd"/>
            <w:r w:rsidRPr="00D25149">
              <w:rPr>
                <w:rFonts w:eastAsia="Verdana"/>
              </w:rPr>
              <w:t xml:space="preserve">. </w:t>
            </w:r>
          </w:p>
          <w:p w:rsidR="00D25149" w:rsidRPr="00D25149" w:rsidRDefault="00D25149" w:rsidP="00D25149">
            <w:pPr>
              <w:rPr>
                <w:rFonts w:eastAsia="Verdana"/>
              </w:rPr>
            </w:pPr>
            <w:r w:rsidRPr="00D25149">
              <w:rPr>
                <w:rFonts w:eastAsia="Verdana"/>
              </w:rPr>
              <w:t>Text available at:</w:t>
            </w:r>
          </w:p>
          <w:p w:rsidR="00D25149" w:rsidRPr="00D25149" w:rsidRDefault="00D25149" w:rsidP="00D25149">
            <w:pPr>
              <w:rPr>
                <w:rFonts w:eastAsia="Verdana"/>
              </w:rPr>
            </w:pPr>
            <w:hyperlink r:id="rId9" w:history="1">
              <w:r w:rsidRPr="00D25149">
                <w:rPr>
                  <w:rFonts w:eastAsia="Verdana"/>
                  <w:color w:val="0000FF"/>
                  <w:u w:val="single"/>
                </w:rPr>
                <w:t>http://members.wto.org/crnattachments/2015/SPS/CRI/15_1366_00_s.pdf</w:t>
              </w:r>
            </w:hyperlink>
          </w:p>
          <w:p w:rsidR="00D25149" w:rsidRPr="00D25149" w:rsidRDefault="00D25149" w:rsidP="00D25149">
            <w:pPr>
              <w:spacing w:after="240"/>
              <w:rPr>
                <w:rFonts w:eastAsia="Verdana"/>
              </w:rPr>
            </w:pPr>
            <w:hyperlink r:id="rId10" w:history="1">
              <w:r w:rsidRPr="00D25149">
                <w:rPr>
                  <w:rFonts w:eastAsia="Verdana"/>
                  <w:color w:val="0000FF"/>
                  <w:u w:val="single"/>
                </w:rPr>
                <w:t>http://members.wto.org/crnattachments/2015/SPS/CRI/15_2072_00_s.pdf</w:t>
              </w:r>
              <w:bookmarkEnd w:id="7"/>
            </w:hyperlink>
          </w:p>
        </w:tc>
      </w:tr>
      <w:tr w:rsidR="00D25149" w:rsidRPr="00D25149" w:rsidTr="00A54874">
        <w:tc>
          <w:tcPr>
            <w:tcW w:w="9242" w:type="dxa"/>
          </w:tcPr>
          <w:p w:rsidR="00D25149" w:rsidRPr="00D25149" w:rsidRDefault="00D25149" w:rsidP="00D25149">
            <w:pPr>
              <w:spacing w:after="240"/>
              <w:rPr>
                <w:rFonts w:eastAsia="Verdana"/>
                <w:b/>
              </w:rPr>
            </w:pPr>
            <w:r w:rsidRPr="00D25149">
              <w:rPr>
                <w:rFonts w:eastAsia="Verdana"/>
                <w:b/>
              </w:rPr>
              <w:t>This addendum concerns a:</w:t>
            </w:r>
          </w:p>
        </w:tc>
      </w:tr>
      <w:tr w:rsidR="00D25149" w:rsidRPr="00D25149" w:rsidTr="00A54874">
        <w:tc>
          <w:tcPr>
            <w:tcW w:w="9242" w:type="dxa"/>
          </w:tcPr>
          <w:p w:rsidR="00D25149" w:rsidRPr="00D25149" w:rsidRDefault="00D25149" w:rsidP="00D25149">
            <w:pPr>
              <w:ind w:left="1440" w:hanging="873"/>
              <w:rPr>
                <w:rFonts w:eastAsia="Verdana"/>
              </w:rPr>
            </w:pPr>
            <w:r w:rsidRPr="00D25149">
              <w:rPr>
                <w:rFonts w:eastAsia="Verdana"/>
              </w:rPr>
              <w:t>[</w:t>
            </w:r>
            <w:bookmarkStart w:id="8" w:name="spsModificationComment"/>
            <w:r w:rsidRPr="00D25149">
              <w:rPr>
                <w:rFonts w:eastAsia="Verdana"/>
                <w:b/>
              </w:rPr>
              <w:t xml:space="preserve"> </w:t>
            </w:r>
            <w:bookmarkEnd w:id="8"/>
            <w:r w:rsidRPr="00D25149">
              <w:rPr>
                <w:rFonts w:eastAsia="Verdana"/>
              </w:rPr>
              <w:t>]</w:t>
            </w:r>
            <w:r w:rsidRPr="00D25149">
              <w:rPr>
                <w:rFonts w:eastAsia="Verdana"/>
              </w:rPr>
              <w:tab/>
              <w:t>Modification of final date for comments</w:t>
            </w:r>
          </w:p>
        </w:tc>
      </w:tr>
      <w:tr w:rsidR="00D25149" w:rsidRPr="00D25149" w:rsidTr="00A54874">
        <w:tc>
          <w:tcPr>
            <w:tcW w:w="9242" w:type="dxa"/>
          </w:tcPr>
          <w:p w:rsidR="00D25149" w:rsidRPr="00D25149" w:rsidRDefault="00D25149" w:rsidP="00D25149">
            <w:pPr>
              <w:ind w:left="1440" w:hanging="873"/>
              <w:rPr>
                <w:rFonts w:eastAsia="Verdana"/>
              </w:rPr>
            </w:pPr>
            <w:r w:rsidRPr="00D25149">
              <w:rPr>
                <w:rFonts w:eastAsia="Verdana"/>
              </w:rPr>
              <w:t>[</w:t>
            </w:r>
            <w:bookmarkStart w:id="9" w:name="spsNotification"/>
            <w:r w:rsidRPr="00D25149">
              <w:rPr>
                <w:rFonts w:eastAsia="Verdana"/>
                <w:b/>
              </w:rPr>
              <w:t xml:space="preserve"> </w:t>
            </w:r>
            <w:bookmarkEnd w:id="9"/>
            <w:r w:rsidRPr="00D25149">
              <w:rPr>
                <w:rFonts w:eastAsia="Verdana"/>
              </w:rPr>
              <w:t>]</w:t>
            </w:r>
            <w:r w:rsidRPr="00D25149">
              <w:rPr>
                <w:rFonts w:eastAsia="Verdana"/>
              </w:rPr>
              <w:tab/>
              <w:t>Notification of adoption, publication or entry into force of regulation</w:t>
            </w:r>
          </w:p>
        </w:tc>
      </w:tr>
      <w:tr w:rsidR="00D25149" w:rsidRPr="00D25149" w:rsidTr="00A54874">
        <w:tc>
          <w:tcPr>
            <w:tcW w:w="9242" w:type="dxa"/>
          </w:tcPr>
          <w:p w:rsidR="00D25149" w:rsidRPr="00D25149" w:rsidRDefault="00D25149" w:rsidP="00D25149">
            <w:pPr>
              <w:ind w:left="1440" w:hanging="873"/>
              <w:rPr>
                <w:rFonts w:eastAsia="Verdana"/>
              </w:rPr>
            </w:pPr>
            <w:r w:rsidRPr="00D25149">
              <w:rPr>
                <w:rFonts w:eastAsia="Verdana"/>
              </w:rPr>
              <w:t>[</w:t>
            </w:r>
            <w:bookmarkStart w:id="10" w:name="spsModificationContent"/>
            <w:r w:rsidRPr="00D25149">
              <w:rPr>
                <w:rFonts w:eastAsia="Verdana"/>
                <w:b/>
              </w:rPr>
              <w:t xml:space="preserve"> </w:t>
            </w:r>
            <w:bookmarkEnd w:id="10"/>
            <w:r w:rsidRPr="00D25149">
              <w:rPr>
                <w:rFonts w:eastAsia="Verdana"/>
              </w:rPr>
              <w:t>]</w:t>
            </w:r>
            <w:r w:rsidRPr="00D25149">
              <w:rPr>
                <w:rFonts w:eastAsia="Verdana"/>
              </w:rPr>
              <w:tab/>
              <w:t>Modification of content and/or scope of previously notified draft regulation</w:t>
            </w:r>
          </w:p>
        </w:tc>
      </w:tr>
      <w:tr w:rsidR="00D25149" w:rsidRPr="00D25149" w:rsidTr="00A54874">
        <w:tc>
          <w:tcPr>
            <w:tcW w:w="9242" w:type="dxa"/>
          </w:tcPr>
          <w:p w:rsidR="00D25149" w:rsidRPr="00D25149" w:rsidRDefault="00D25149" w:rsidP="00D25149">
            <w:pPr>
              <w:ind w:left="1440" w:hanging="873"/>
              <w:rPr>
                <w:rFonts w:eastAsia="Verdana"/>
              </w:rPr>
            </w:pPr>
            <w:r w:rsidRPr="00D25149">
              <w:rPr>
                <w:rFonts w:eastAsia="Verdana"/>
              </w:rPr>
              <w:t>[</w:t>
            </w:r>
            <w:bookmarkStart w:id="11" w:name="spsWithdraw"/>
            <w:r w:rsidRPr="00D25149">
              <w:rPr>
                <w:rFonts w:eastAsia="Verdana"/>
                <w:b/>
              </w:rPr>
              <w:t>X</w:t>
            </w:r>
            <w:bookmarkEnd w:id="11"/>
            <w:r w:rsidRPr="00D25149">
              <w:rPr>
                <w:rFonts w:eastAsia="Verdana"/>
              </w:rPr>
              <w:t>]</w:t>
            </w:r>
            <w:r w:rsidRPr="00D25149">
              <w:rPr>
                <w:rFonts w:eastAsia="Verdana"/>
              </w:rPr>
              <w:tab/>
              <w:t>Withdrawal of proposed regulation</w:t>
            </w:r>
          </w:p>
        </w:tc>
      </w:tr>
      <w:tr w:rsidR="00D25149" w:rsidRPr="00D25149" w:rsidTr="00A54874">
        <w:tc>
          <w:tcPr>
            <w:tcW w:w="9242" w:type="dxa"/>
          </w:tcPr>
          <w:p w:rsidR="00D25149" w:rsidRPr="00D25149" w:rsidRDefault="00D25149" w:rsidP="00D25149">
            <w:pPr>
              <w:ind w:left="1440" w:hanging="873"/>
              <w:rPr>
                <w:rFonts w:eastAsia="Verdana"/>
              </w:rPr>
            </w:pPr>
            <w:r w:rsidRPr="00D25149">
              <w:rPr>
                <w:rFonts w:eastAsia="Verdana"/>
              </w:rPr>
              <w:t>[</w:t>
            </w:r>
            <w:bookmarkStart w:id="12" w:name="spsModificationDate"/>
            <w:r w:rsidRPr="00D25149">
              <w:rPr>
                <w:rFonts w:eastAsia="Verdana"/>
                <w:b/>
              </w:rPr>
              <w:t xml:space="preserve"> </w:t>
            </w:r>
            <w:bookmarkEnd w:id="12"/>
            <w:r w:rsidRPr="00D25149">
              <w:rPr>
                <w:rFonts w:eastAsia="Verdana"/>
              </w:rPr>
              <w:t>]</w:t>
            </w:r>
            <w:r w:rsidRPr="00D25149">
              <w:rPr>
                <w:rFonts w:eastAsia="Verdana"/>
              </w:rPr>
              <w:tab/>
              <w:t>Change in proposed date of adoption, publication, or date of entry into force</w:t>
            </w:r>
          </w:p>
        </w:tc>
      </w:tr>
      <w:tr w:rsidR="00D25149" w:rsidRPr="00D25149" w:rsidTr="00A54874">
        <w:tc>
          <w:tcPr>
            <w:tcW w:w="9242" w:type="dxa"/>
          </w:tcPr>
          <w:p w:rsidR="00D25149" w:rsidRPr="00D25149" w:rsidRDefault="00D25149" w:rsidP="00D25149">
            <w:pPr>
              <w:spacing w:after="240"/>
              <w:ind w:left="1440" w:hanging="873"/>
              <w:rPr>
                <w:rFonts w:eastAsia="Verdana"/>
              </w:rPr>
            </w:pPr>
            <w:r w:rsidRPr="00D25149">
              <w:rPr>
                <w:rFonts w:eastAsia="Verdana"/>
              </w:rPr>
              <w:t>[</w:t>
            </w:r>
            <w:bookmarkStart w:id="13" w:name="spsModificationOther"/>
            <w:r w:rsidRPr="00D25149">
              <w:rPr>
                <w:rFonts w:eastAsia="Verdana"/>
                <w:b/>
              </w:rPr>
              <w:t>X</w:t>
            </w:r>
            <w:bookmarkEnd w:id="13"/>
            <w:r w:rsidRPr="00D25149">
              <w:rPr>
                <w:rFonts w:eastAsia="Verdana"/>
              </w:rPr>
              <w:t>]</w:t>
            </w:r>
            <w:r w:rsidRPr="00D25149">
              <w:rPr>
                <w:rFonts w:eastAsia="Verdana"/>
              </w:rPr>
              <w:tab/>
              <w:t xml:space="preserve">Other: </w:t>
            </w:r>
            <w:bookmarkStart w:id="14" w:name="spsModificationOtherText"/>
            <w:r w:rsidRPr="00D25149">
              <w:rPr>
                <w:rFonts w:eastAsia="Verdana"/>
              </w:rPr>
              <w:t>Abrogation of Executive Decree No. 34782-S-MAG-MTSS-MINAE</w:t>
            </w:r>
            <w:bookmarkEnd w:id="14"/>
          </w:p>
        </w:tc>
      </w:tr>
      <w:tr w:rsidR="00D25149" w:rsidRPr="00D25149" w:rsidTr="00A54874">
        <w:tc>
          <w:tcPr>
            <w:tcW w:w="9242" w:type="dxa"/>
          </w:tcPr>
          <w:p w:rsidR="00D25149" w:rsidRPr="00D25149" w:rsidRDefault="00D25149" w:rsidP="00D25149">
            <w:pPr>
              <w:spacing w:after="240"/>
              <w:rPr>
                <w:rFonts w:eastAsia="Verdana"/>
                <w:b/>
              </w:rPr>
            </w:pPr>
            <w:r w:rsidRPr="00D25149">
              <w:rPr>
                <w:rFonts w:eastAsia="Verdana"/>
                <w:b/>
              </w:rPr>
              <w:t xml:space="preserve">Comment period: </w:t>
            </w:r>
            <w:r w:rsidRPr="00D25149">
              <w:rPr>
                <w:rFonts w:eastAsia="Verdana"/>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D25149" w:rsidRPr="00D25149" w:rsidTr="00A54874">
        <w:tc>
          <w:tcPr>
            <w:tcW w:w="9242" w:type="dxa"/>
          </w:tcPr>
          <w:p w:rsidR="00D25149" w:rsidRPr="00D25149" w:rsidRDefault="00D25149" w:rsidP="00D25149">
            <w:pPr>
              <w:spacing w:after="240"/>
              <w:ind w:left="1440" w:hanging="873"/>
              <w:rPr>
                <w:rFonts w:eastAsia="Verdana"/>
              </w:rPr>
            </w:pPr>
            <w:r w:rsidRPr="00D25149">
              <w:rPr>
                <w:rFonts w:eastAsia="Verdana"/>
              </w:rPr>
              <w:t>[</w:t>
            </w:r>
            <w:bookmarkStart w:id="15" w:name="spsSixtyDayCirculation"/>
            <w:r w:rsidRPr="00D25149">
              <w:rPr>
                <w:rFonts w:eastAsia="Verdana"/>
                <w:b/>
              </w:rPr>
              <w:t xml:space="preserve"> </w:t>
            </w:r>
            <w:bookmarkEnd w:id="15"/>
            <w:r w:rsidRPr="00D25149">
              <w:rPr>
                <w:rFonts w:eastAsia="Verdana"/>
              </w:rPr>
              <w:t>]</w:t>
            </w:r>
            <w:r w:rsidRPr="00D25149">
              <w:rPr>
                <w:rFonts w:eastAsia="Verdana"/>
              </w:rPr>
              <w:tab/>
              <w:t xml:space="preserve">Sixty days from the date of circulation of the addendum to the notification and/or </w:t>
            </w:r>
            <w:r w:rsidRPr="00D25149">
              <w:rPr>
                <w:rFonts w:eastAsia="Verdana"/>
                <w:i/>
              </w:rPr>
              <w:t>(</w:t>
            </w:r>
            <w:proofErr w:type="spellStart"/>
            <w:r w:rsidRPr="00D25149">
              <w:rPr>
                <w:rFonts w:eastAsia="Verdana"/>
                <w:i/>
              </w:rPr>
              <w:t>dd</w:t>
            </w:r>
            <w:proofErr w:type="spellEnd"/>
            <w:r w:rsidRPr="00D25149">
              <w:rPr>
                <w:rFonts w:eastAsia="Verdana"/>
                <w:i/>
              </w:rPr>
              <w:t>/mm/</w:t>
            </w:r>
            <w:proofErr w:type="spellStart"/>
            <w:r w:rsidRPr="00D25149">
              <w:rPr>
                <w:rFonts w:eastAsia="Verdana"/>
                <w:i/>
              </w:rPr>
              <w:t>yy</w:t>
            </w:r>
            <w:proofErr w:type="spellEnd"/>
            <w:r w:rsidRPr="00D25149">
              <w:rPr>
                <w:rFonts w:eastAsia="Verdana"/>
                <w:i/>
              </w:rPr>
              <w:t>)</w:t>
            </w:r>
            <w:r w:rsidRPr="00D25149">
              <w:rPr>
                <w:rFonts w:eastAsia="Verdana"/>
              </w:rPr>
              <w:t xml:space="preserve">:  </w:t>
            </w:r>
            <w:bookmarkStart w:id="16" w:name="spsDateComment"/>
            <w:r w:rsidRPr="00D25149">
              <w:rPr>
                <w:rFonts w:eastAsia="Verdana"/>
              </w:rPr>
              <w:t>Not applicable</w:t>
            </w:r>
            <w:bookmarkEnd w:id="16"/>
          </w:p>
        </w:tc>
      </w:tr>
      <w:tr w:rsidR="00D25149" w:rsidRPr="00D25149" w:rsidTr="00A54874">
        <w:tc>
          <w:tcPr>
            <w:tcW w:w="9242" w:type="dxa"/>
          </w:tcPr>
          <w:p w:rsidR="00D25149" w:rsidRPr="00D25149" w:rsidRDefault="00D25149" w:rsidP="00D25149">
            <w:pPr>
              <w:spacing w:after="240"/>
              <w:rPr>
                <w:rFonts w:eastAsia="Verdana"/>
                <w:b/>
              </w:rPr>
            </w:pPr>
            <w:r w:rsidRPr="00D25149">
              <w:rPr>
                <w:rFonts w:eastAsia="Verdana"/>
                <w:b/>
              </w:rPr>
              <w:t>Agency or authority designated to handle comments</w:t>
            </w:r>
            <w:r w:rsidRPr="00D25149">
              <w:rPr>
                <w:rFonts w:eastAsia="Verdana"/>
                <w:b/>
                <w:spacing w:val="-2"/>
              </w:rPr>
              <w:t>: [X] </w:t>
            </w:r>
            <w:r w:rsidRPr="00D25149">
              <w:rPr>
                <w:rFonts w:eastAsia="Verdana"/>
                <w:b/>
              </w:rPr>
              <w:t>National Notification Authority</w:t>
            </w:r>
            <w:r w:rsidRPr="00D25149">
              <w:rPr>
                <w:rFonts w:eastAsia="Verdana"/>
                <w:b/>
                <w:spacing w:val="-2"/>
              </w:rPr>
              <w:t xml:space="preserve">, [ ] </w:t>
            </w:r>
            <w:r w:rsidRPr="00D25149">
              <w:rPr>
                <w:rFonts w:eastAsia="Verdana"/>
                <w:b/>
              </w:rPr>
              <w:t>National Enquiry Point. Address, fax number and e</w:t>
            </w:r>
            <w:r w:rsidRPr="00D25149">
              <w:rPr>
                <w:rFonts w:eastAsia="Verdana"/>
                <w:b/>
              </w:rPr>
              <w:noBreakHyphen/>
              <w:t>mail address (if available) of other body:</w:t>
            </w:r>
          </w:p>
        </w:tc>
      </w:tr>
      <w:tr w:rsidR="00D25149" w:rsidRPr="00D25149" w:rsidTr="00A54874">
        <w:tc>
          <w:tcPr>
            <w:tcW w:w="9242" w:type="dxa"/>
          </w:tcPr>
          <w:p w:rsidR="00D25149" w:rsidRPr="00D25149" w:rsidRDefault="00D25149" w:rsidP="00D25149">
            <w:pPr>
              <w:spacing w:after="240"/>
              <w:rPr>
                <w:rFonts w:eastAsiaTheme="minorEastAsia" w:hint="eastAsia"/>
                <w:lang w:eastAsia="zh-CN"/>
              </w:rPr>
            </w:pPr>
          </w:p>
        </w:tc>
      </w:tr>
      <w:tr w:rsidR="00D25149" w:rsidRPr="00D25149" w:rsidTr="00A54874">
        <w:tc>
          <w:tcPr>
            <w:tcW w:w="9242" w:type="dxa"/>
          </w:tcPr>
          <w:p w:rsidR="00D25149" w:rsidRPr="00D25149" w:rsidRDefault="00D25149" w:rsidP="00D25149">
            <w:pPr>
              <w:keepNext/>
              <w:keepLines/>
              <w:spacing w:after="240"/>
              <w:rPr>
                <w:rFonts w:eastAsia="Verdana"/>
                <w:b/>
              </w:rPr>
            </w:pPr>
            <w:r w:rsidRPr="00D25149">
              <w:rPr>
                <w:rFonts w:eastAsia="Verdana"/>
                <w:b/>
              </w:rPr>
              <w:lastRenderedPageBreak/>
              <w:t>Text available from</w:t>
            </w:r>
            <w:r w:rsidRPr="00D25149">
              <w:rPr>
                <w:rFonts w:eastAsia="Verdana"/>
                <w:b/>
                <w:spacing w:val="-2"/>
              </w:rPr>
              <w:t>: [X] </w:t>
            </w:r>
            <w:r w:rsidRPr="00D25149">
              <w:rPr>
                <w:rFonts w:eastAsia="Verdana"/>
                <w:b/>
              </w:rPr>
              <w:t>National Notification Authority</w:t>
            </w:r>
            <w:r w:rsidRPr="00D25149">
              <w:rPr>
                <w:rFonts w:eastAsia="Verdana"/>
                <w:b/>
                <w:spacing w:val="-2"/>
              </w:rPr>
              <w:t xml:space="preserve">, [X] </w:t>
            </w:r>
            <w:r w:rsidRPr="00D25149">
              <w:rPr>
                <w:rFonts w:eastAsia="Verdana"/>
                <w:b/>
              </w:rPr>
              <w:t>National Enquiry Point.  Address, fax number and e</w:t>
            </w:r>
            <w:r w:rsidRPr="00D25149">
              <w:rPr>
                <w:rFonts w:eastAsia="Verdana"/>
                <w:b/>
              </w:rPr>
              <w:noBreakHyphen/>
              <w:t>mail address (if available) of other body:</w:t>
            </w:r>
          </w:p>
        </w:tc>
      </w:tr>
      <w:tr w:rsidR="00D25149" w:rsidRPr="00D25149" w:rsidTr="00A54874">
        <w:tc>
          <w:tcPr>
            <w:tcW w:w="9242" w:type="dxa"/>
          </w:tcPr>
          <w:p w:rsidR="00D25149" w:rsidRPr="00D25149" w:rsidRDefault="00D25149" w:rsidP="00D25149">
            <w:pPr>
              <w:keepNext/>
              <w:keepLines/>
              <w:rPr>
                <w:rFonts w:eastAsia="Verdana"/>
              </w:rPr>
            </w:pPr>
            <w:bookmarkStart w:id="17" w:name="spsTextSupplierAddress"/>
            <w:proofErr w:type="spellStart"/>
            <w:r w:rsidRPr="00D25149">
              <w:rPr>
                <w:rFonts w:eastAsia="Verdana"/>
              </w:rPr>
              <w:t>Ministerio</w:t>
            </w:r>
            <w:proofErr w:type="spellEnd"/>
            <w:r w:rsidRPr="00D25149">
              <w:rPr>
                <w:rFonts w:eastAsia="Verdana"/>
              </w:rPr>
              <w:t xml:space="preserve"> de </w:t>
            </w:r>
            <w:proofErr w:type="spellStart"/>
            <w:r w:rsidRPr="00D25149">
              <w:rPr>
                <w:rFonts w:eastAsia="Verdana"/>
              </w:rPr>
              <w:t>Agricultura</w:t>
            </w:r>
            <w:proofErr w:type="spellEnd"/>
            <w:r w:rsidRPr="00D25149">
              <w:rPr>
                <w:rFonts w:eastAsia="Verdana"/>
              </w:rPr>
              <w:t xml:space="preserve"> y </w:t>
            </w:r>
            <w:proofErr w:type="spellStart"/>
            <w:r w:rsidRPr="00D25149">
              <w:rPr>
                <w:rFonts w:eastAsia="Verdana"/>
              </w:rPr>
              <w:t>Ganadería</w:t>
            </w:r>
            <w:proofErr w:type="spellEnd"/>
          </w:p>
          <w:p w:rsidR="00D25149" w:rsidRPr="00D25149" w:rsidRDefault="00D25149" w:rsidP="00D25149">
            <w:pPr>
              <w:keepNext/>
              <w:keepLines/>
              <w:rPr>
                <w:rFonts w:eastAsia="Verdana"/>
              </w:rPr>
            </w:pPr>
            <w:proofErr w:type="spellStart"/>
            <w:r w:rsidRPr="00D25149">
              <w:rPr>
                <w:rFonts w:eastAsia="Verdana"/>
              </w:rPr>
              <w:t>Servicio</w:t>
            </w:r>
            <w:proofErr w:type="spellEnd"/>
            <w:r w:rsidRPr="00D25149">
              <w:rPr>
                <w:rFonts w:eastAsia="Verdana"/>
              </w:rPr>
              <w:t xml:space="preserve"> </w:t>
            </w:r>
            <w:proofErr w:type="spellStart"/>
            <w:r w:rsidRPr="00D25149">
              <w:rPr>
                <w:rFonts w:eastAsia="Verdana"/>
              </w:rPr>
              <w:t>Fitosanitario</w:t>
            </w:r>
            <w:proofErr w:type="spellEnd"/>
            <w:r w:rsidRPr="00D25149">
              <w:rPr>
                <w:rFonts w:eastAsia="Verdana"/>
              </w:rPr>
              <w:t xml:space="preserve"> del Estado (SFE)</w:t>
            </w:r>
          </w:p>
          <w:p w:rsidR="00D25149" w:rsidRPr="00D25149" w:rsidRDefault="00D25149" w:rsidP="00D25149">
            <w:pPr>
              <w:keepNext/>
              <w:keepLines/>
              <w:rPr>
                <w:rFonts w:eastAsia="Verdana"/>
              </w:rPr>
            </w:pPr>
            <w:r w:rsidRPr="00D25149">
              <w:rPr>
                <w:rFonts w:eastAsia="Verdana"/>
              </w:rPr>
              <w:t xml:space="preserve">Centro de </w:t>
            </w:r>
            <w:proofErr w:type="spellStart"/>
            <w:r w:rsidRPr="00D25149">
              <w:rPr>
                <w:rFonts w:eastAsia="Verdana"/>
              </w:rPr>
              <w:t>Información</w:t>
            </w:r>
            <w:proofErr w:type="spellEnd"/>
            <w:r w:rsidRPr="00D25149">
              <w:rPr>
                <w:rFonts w:eastAsia="Verdana"/>
              </w:rPr>
              <w:t xml:space="preserve"> y </w:t>
            </w:r>
            <w:proofErr w:type="spellStart"/>
            <w:r w:rsidRPr="00D25149">
              <w:rPr>
                <w:rFonts w:eastAsia="Verdana"/>
              </w:rPr>
              <w:t>Notificación</w:t>
            </w:r>
            <w:proofErr w:type="spellEnd"/>
            <w:r w:rsidRPr="00D25149">
              <w:rPr>
                <w:rFonts w:eastAsia="Verdana"/>
              </w:rPr>
              <w:t xml:space="preserve"> MSF</w:t>
            </w:r>
          </w:p>
          <w:p w:rsidR="00D25149" w:rsidRPr="00D25149" w:rsidRDefault="00D25149" w:rsidP="00D25149">
            <w:pPr>
              <w:keepNext/>
              <w:keepLines/>
              <w:rPr>
                <w:rFonts w:eastAsia="Verdana"/>
              </w:rPr>
            </w:pPr>
            <w:proofErr w:type="spellStart"/>
            <w:r w:rsidRPr="00D25149">
              <w:rPr>
                <w:rFonts w:eastAsia="Verdana"/>
              </w:rPr>
              <w:t>Apartado</w:t>
            </w:r>
            <w:proofErr w:type="spellEnd"/>
            <w:r w:rsidRPr="00D25149">
              <w:rPr>
                <w:rFonts w:eastAsia="Verdana"/>
              </w:rPr>
              <w:t xml:space="preserve"> Postal 1521 – 1200</w:t>
            </w:r>
          </w:p>
          <w:p w:rsidR="00D25149" w:rsidRPr="00D25149" w:rsidRDefault="00D25149" w:rsidP="00D25149">
            <w:pPr>
              <w:keepNext/>
              <w:keepLines/>
              <w:rPr>
                <w:rFonts w:eastAsia="Verdana"/>
              </w:rPr>
            </w:pPr>
            <w:r w:rsidRPr="00D25149">
              <w:rPr>
                <w:rFonts w:eastAsia="Verdana"/>
              </w:rPr>
              <w:t>San José, Costa Rica</w:t>
            </w:r>
          </w:p>
          <w:p w:rsidR="00D25149" w:rsidRPr="00D25149" w:rsidRDefault="00D25149" w:rsidP="00D25149">
            <w:pPr>
              <w:keepNext/>
              <w:keepLines/>
              <w:tabs>
                <w:tab w:val="left" w:pos="851"/>
              </w:tabs>
              <w:rPr>
                <w:rFonts w:eastAsia="Verdana"/>
              </w:rPr>
            </w:pPr>
            <w:r w:rsidRPr="00D25149">
              <w:rPr>
                <w:rFonts w:eastAsia="Verdana"/>
              </w:rPr>
              <w:t>Tel.:</w:t>
            </w:r>
            <w:r w:rsidRPr="00D25149">
              <w:rPr>
                <w:rFonts w:eastAsia="Verdana"/>
              </w:rPr>
              <w:tab/>
              <w:t>(+506) 2549-3454</w:t>
            </w:r>
          </w:p>
          <w:p w:rsidR="00D25149" w:rsidRPr="00D25149" w:rsidRDefault="00D25149" w:rsidP="00D25149">
            <w:pPr>
              <w:keepNext/>
              <w:keepLines/>
              <w:tabs>
                <w:tab w:val="left" w:pos="851"/>
              </w:tabs>
              <w:rPr>
                <w:rFonts w:eastAsia="Verdana"/>
              </w:rPr>
            </w:pPr>
            <w:r w:rsidRPr="00D25149">
              <w:rPr>
                <w:rFonts w:eastAsia="Verdana"/>
              </w:rPr>
              <w:t>Fax:</w:t>
            </w:r>
            <w:r w:rsidRPr="00D25149">
              <w:rPr>
                <w:rFonts w:eastAsia="Verdana"/>
              </w:rPr>
              <w:tab/>
              <w:t>(+506) 2549-3598</w:t>
            </w:r>
          </w:p>
          <w:p w:rsidR="00D25149" w:rsidRPr="00D25149" w:rsidRDefault="00D25149" w:rsidP="00D25149">
            <w:pPr>
              <w:keepNext/>
              <w:keepLines/>
              <w:tabs>
                <w:tab w:val="left" w:pos="851"/>
              </w:tabs>
              <w:spacing w:after="240"/>
              <w:rPr>
                <w:rFonts w:eastAsia="Verdana"/>
              </w:rPr>
            </w:pPr>
            <w:r w:rsidRPr="00D25149">
              <w:rPr>
                <w:rFonts w:eastAsia="Verdana"/>
              </w:rPr>
              <w:t>E-mail:</w:t>
            </w:r>
            <w:r w:rsidRPr="00D25149">
              <w:rPr>
                <w:rFonts w:eastAsia="Verdana"/>
              </w:rPr>
              <w:tab/>
              <w:t>puntocontactoMSF@sfe.go.cr</w:t>
            </w:r>
            <w:bookmarkEnd w:id="17"/>
            <w:r w:rsidRPr="00D25149">
              <w:rPr>
                <w:rFonts w:eastAsia="Verdana"/>
              </w:rPr>
              <w:t xml:space="preserve"> </w:t>
            </w:r>
          </w:p>
        </w:tc>
      </w:tr>
    </w:tbl>
    <w:p w:rsidR="00D25149" w:rsidRDefault="00D25149" w:rsidP="00D25149">
      <w:pPr>
        <w:rPr>
          <w:rFonts w:hint="eastAsia"/>
          <w:lang w:eastAsia="zh-CN"/>
        </w:rPr>
      </w:pPr>
      <w:bookmarkStart w:id="18" w:name="_GoBack"/>
      <w:bookmarkEnd w:id="18"/>
    </w:p>
    <w:p w:rsidR="00D25149" w:rsidRDefault="00D25149">
      <w:pPr>
        <w:jc w:val="left"/>
      </w:pPr>
      <w:r>
        <w:br w:type="page"/>
      </w:r>
    </w:p>
    <w:tbl>
      <w:tblPr>
        <w:tblW w:w="8897" w:type="dxa"/>
        <w:jc w:val="center"/>
        <w:tblLook w:val="04A0" w:firstRow="1" w:lastRow="0" w:firstColumn="1" w:lastColumn="0" w:noHBand="0" w:noVBand="1"/>
      </w:tblPr>
      <w:tblGrid>
        <w:gridCol w:w="9243"/>
      </w:tblGrid>
      <w:tr w:rsidR="00D25149" w:rsidRPr="00D25149" w:rsidTr="00A54874">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D25149" w:rsidRPr="00D25149" w:rsidTr="00A54874">
              <w:trPr>
                <w:trHeight w:val="472"/>
                <w:jc w:val="center"/>
              </w:trPr>
              <w:tc>
                <w:tcPr>
                  <w:tcW w:w="6160" w:type="dxa"/>
                </w:tcPr>
                <w:p w:rsidR="00D25149" w:rsidRPr="00D25149" w:rsidRDefault="00D25149" w:rsidP="00D25149">
                  <w:pPr>
                    <w:tabs>
                      <w:tab w:val="left" w:pos="720"/>
                    </w:tabs>
                    <w:snapToGrid w:val="0"/>
                    <w:rPr>
                      <w:rFonts w:ascii="Times New Roman" w:hAnsi="Times New Roman"/>
                      <w:bCs/>
                      <w:caps/>
                      <w:smallCaps/>
                      <w:color w:val="000000"/>
                      <w:kern w:val="28"/>
                      <w:sz w:val="21"/>
                      <w:szCs w:val="21"/>
                    </w:rPr>
                  </w:pPr>
                  <w:r w:rsidRPr="00D25149">
                    <w:rPr>
                      <w:rFonts w:ascii="宋体" w:hAnsi="宋体"/>
                      <w:b/>
                      <w:bCs/>
                      <w:caps/>
                      <w:color w:val="000000"/>
                      <w:kern w:val="28"/>
                      <w:sz w:val="28"/>
                      <w:szCs w:val="28"/>
                      <w:lang w:eastAsia="zh-CN"/>
                    </w:rPr>
                    <w:lastRenderedPageBreak/>
                    <w:t>世界贸易组织</w:t>
                  </w:r>
                </w:p>
              </w:tc>
              <w:tc>
                <w:tcPr>
                  <w:tcW w:w="2870" w:type="dxa"/>
                </w:tcPr>
                <w:p w:rsidR="00D25149" w:rsidRPr="00D25149" w:rsidRDefault="00D25149" w:rsidP="00D25149">
                  <w:pPr>
                    <w:tabs>
                      <w:tab w:val="left" w:pos="720"/>
                    </w:tabs>
                    <w:spacing w:line="240" w:lineRule="exact"/>
                    <w:jc w:val="left"/>
                    <w:rPr>
                      <w:rFonts w:ascii="Times New Roman" w:hAnsi="Times New Roman"/>
                      <w:color w:val="808080"/>
                      <w:sz w:val="22"/>
                      <w:szCs w:val="20"/>
                    </w:rPr>
                  </w:pPr>
                  <w:r w:rsidRPr="00D25149">
                    <w:rPr>
                      <w:rFonts w:ascii="Times New Roman" w:hAnsi="Times New Roman"/>
                      <w:b/>
                      <w:sz w:val="22"/>
                      <w:szCs w:val="21"/>
                    </w:rPr>
                    <w:t>G/SPS/N/CRI/155/Add.1</w:t>
                  </w:r>
                </w:p>
                <w:p w:rsidR="00D25149" w:rsidRPr="00D25149" w:rsidRDefault="00D25149" w:rsidP="00D25149">
                  <w:pPr>
                    <w:tabs>
                      <w:tab w:val="left" w:pos="720"/>
                    </w:tabs>
                    <w:spacing w:line="240" w:lineRule="exact"/>
                    <w:jc w:val="left"/>
                    <w:rPr>
                      <w:rFonts w:ascii="Times New Roman" w:hAnsi="Times New Roman"/>
                      <w:b/>
                      <w:sz w:val="22"/>
                      <w:szCs w:val="21"/>
                    </w:rPr>
                  </w:pPr>
                  <w:proofErr w:type="spellStart"/>
                  <w:r w:rsidRPr="00D25149">
                    <w:rPr>
                      <w:rFonts w:ascii="Times New Roman" w:hAnsi="Times New Roman"/>
                      <w:b/>
                      <w:sz w:val="22"/>
                      <w:szCs w:val="21"/>
                    </w:rPr>
                    <w:t>分发日期</w:t>
                  </w:r>
                  <w:proofErr w:type="spellEnd"/>
                  <w:r w:rsidRPr="00D25149">
                    <w:rPr>
                      <w:rFonts w:ascii="Times New Roman" w:hAnsi="Times New Roman"/>
                      <w:b/>
                      <w:sz w:val="22"/>
                      <w:szCs w:val="21"/>
                    </w:rPr>
                    <w:t>：</w:t>
                  </w:r>
                  <w:r w:rsidRPr="00D25149">
                    <w:rPr>
                      <w:rFonts w:ascii="Times New Roman" w:hAnsi="宋体"/>
                      <w:color w:val="808080"/>
                      <w:sz w:val="22"/>
                      <w:szCs w:val="20"/>
                    </w:rPr>
                    <w:t>2015-05-21</w:t>
                  </w:r>
                </w:p>
                <w:p w:rsidR="00D25149" w:rsidRPr="00D25149" w:rsidRDefault="00D25149" w:rsidP="00D25149">
                  <w:pPr>
                    <w:tabs>
                      <w:tab w:val="left" w:pos="720"/>
                    </w:tabs>
                    <w:adjustRightInd w:val="0"/>
                    <w:snapToGrid w:val="0"/>
                    <w:jc w:val="left"/>
                    <w:rPr>
                      <w:rFonts w:ascii="Times New Roman" w:hAnsi="Times New Roman"/>
                      <w:sz w:val="21"/>
                      <w:szCs w:val="21"/>
                      <w:u w:val="single"/>
                      <w:lang w:eastAsia="zh-CN"/>
                    </w:rPr>
                  </w:pPr>
                  <w:r w:rsidRPr="00D25149">
                    <w:rPr>
                      <w:rFonts w:ascii="Times New Roman" w:hAnsi="Times New Roman"/>
                      <w:sz w:val="22"/>
                      <w:szCs w:val="21"/>
                    </w:rPr>
                    <w:t>(15-2651)</w:t>
                  </w:r>
                </w:p>
              </w:tc>
            </w:tr>
            <w:tr w:rsidR="00D25149" w:rsidRPr="00D25149" w:rsidTr="00A54874">
              <w:trPr>
                <w:trHeight w:val="108"/>
                <w:jc w:val="center"/>
              </w:trPr>
              <w:tc>
                <w:tcPr>
                  <w:tcW w:w="6160" w:type="dxa"/>
                </w:tcPr>
                <w:p w:rsidR="00D25149" w:rsidRPr="00D25149" w:rsidRDefault="00D25149" w:rsidP="00D25149">
                  <w:pPr>
                    <w:tabs>
                      <w:tab w:val="left" w:pos="720"/>
                    </w:tabs>
                    <w:snapToGrid w:val="0"/>
                    <w:jc w:val="left"/>
                    <w:rPr>
                      <w:rFonts w:ascii="宋体" w:hAnsi="宋体"/>
                      <w:bCs/>
                      <w:color w:val="000000"/>
                      <w:sz w:val="21"/>
                      <w:szCs w:val="21"/>
                      <w:lang w:eastAsia="zh-CN"/>
                    </w:rPr>
                  </w:pPr>
                  <w:r w:rsidRPr="00D25149">
                    <w:rPr>
                      <w:rFonts w:ascii="宋体" w:hAnsi="宋体" w:hint="eastAsia"/>
                      <w:bCs/>
                      <w:color w:val="000000"/>
                      <w:sz w:val="21"/>
                      <w:szCs w:val="21"/>
                      <w:lang w:eastAsia="zh-CN"/>
                    </w:rPr>
                    <w:t>卫生及植物卫生措施委员会</w:t>
                  </w:r>
                </w:p>
              </w:tc>
              <w:tc>
                <w:tcPr>
                  <w:tcW w:w="2870" w:type="dxa"/>
                </w:tcPr>
                <w:p w:rsidR="00D25149" w:rsidRPr="00D25149" w:rsidRDefault="00D25149" w:rsidP="00D25149">
                  <w:pPr>
                    <w:tabs>
                      <w:tab w:val="left" w:pos="720"/>
                      <w:tab w:val="left" w:pos="962"/>
                    </w:tabs>
                    <w:snapToGrid w:val="0"/>
                    <w:jc w:val="left"/>
                    <w:rPr>
                      <w:rFonts w:ascii="宋体" w:hAnsi="宋体"/>
                      <w:sz w:val="21"/>
                      <w:szCs w:val="21"/>
                      <w:lang w:eastAsia="zh-CN"/>
                    </w:rPr>
                  </w:pPr>
                  <w:r w:rsidRPr="00D25149">
                    <w:rPr>
                      <w:rFonts w:ascii="宋体" w:hAnsi="宋体" w:hint="eastAsia"/>
                      <w:bCs/>
                      <w:sz w:val="21"/>
                      <w:szCs w:val="21"/>
                      <w:lang w:eastAsia="zh-CN"/>
                    </w:rPr>
                    <w:t>原文</w:t>
                  </w:r>
                  <w:r w:rsidRPr="00D25149">
                    <w:rPr>
                      <w:rFonts w:ascii="宋体" w:hAnsi="宋体"/>
                      <w:bCs/>
                      <w:sz w:val="21"/>
                      <w:szCs w:val="21"/>
                      <w:lang w:eastAsia="zh-CN"/>
                    </w:rPr>
                    <w:t>:</w:t>
                  </w:r>
                  <w:r w:rsidRPr="00D25149">
                    <w:rPr>
                      <w:rFonts w:ascii="宋体" w:hAnsi="宋体" w:hint="eastAsia"/>
                      <w:bCs/>
                      <w:sz w:val="21"/>
                      <w:szCs w:val="21"/>
                      <w:lang w:eastAsia="zh-CN"/>
                    </w:rPr>
                    <w:t xml:space="preserve"> </w:t>
                  </w:r>
                  <w:r w:rsidRPr="00D25149">
                    <w:rPr>
                      <w:rFonts w:ascii="Times New Roman" w:hAnsi="Times New Roman" w:hint="eastAsia"/>
                      <w:color w:val="808080"/>
                      <w:sz w:val="22"/>
                      <w:szCs w:val="20"/>
                      <w:lang w:eastAsia="zh-CN"/>
                    </w:rPr>
                    <w:t>西班牙文</w:t>
                  </w:r>
                  <w:r w:rsidRPr="00D25149">
                    <w:rPr>
                      <w:rFonts w:ascii="宋体" w:hAnsi="宋体" w:hint="eastAsia"/>
                      <w:bCs/>
                      <w:sz w:val="21"/>
                      <w:szCs w:val="21"/>
                      <w:lang w:eastAsia="zh-CN"/>
                    </w:rPr>
                    <w:t xml:space="preserve"> </w:t>
                  </w:r>
                </w:p>
              </w:tc>
            </w:tr>
          </w:tbl>
          <w:p w:rsidR="00D25149" w:rsidRPr="00D25149" w:rsidRDefault="00D25149" w:rsidP="00D25149">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D25149">
              <w:rPr>
                <w:rFonts w:ascii="宋体" w:hAnsi="宋体" w:hint="eastAsia"/>
                <w:color w:val="000000"/>
                <w:spacing w:val="-2"/>
                <w:sz w:val="21"/>
                <w:szCs w:val="21"/>
                <w:lang w:eastAsia="zh-CN"/>
              </w:rPr>
              <w:t xml:space="preserve">   </w:t>
            </w:r>
          </w:p>
          <w:p w:rsidR="00D25149" w:rsidRPr="00D25149" w:rsidRDefault="00D25149" w:rsidP="00D25149">
            <w:pPr>
              <w:tabs>
                <w:tab w:val="left" w:pos="720"/>
              </w:tabs>
              <w:spacing w:line="400" w:lineRule="exact"/>
              <w:jc w:val="center"/>
              <w:rPr>
                <w:rFonts w:ascii="宋体" w:hAnsi="宋体"/>
                <w:b/>
                <w:bCs/>
                <w:caps/>
                <w:color w:val="000000"/>
                <w:kern w:val="28"/>
                <w:sz w:val="28"/>
                <w:szCs w:val="28"/>
                <w:lang w:eastAsia="zh-CN"/>
              </w:rPr>
            </w:pPr>
            <w:r w:rsidRPr="00D25149">
              <w:rPr>
                <w:rFonts w:ascii="宋体" w:hAnsi="宋体" w:hint="eastAsia"/>
                <w:b/>
                <w:bCs/>
                <w:caps/>
                <w:color w:val="000000"/>
                <w:kern w:val="28"/>
                <w:sz w:val="28"/>
                <w:szCs w:val="28"/>
                <w:lang w:eastAsia="zh-CN"/>
              </w:rPr>
              <w:t>通  报</w:t>
            </w:r>
          </w:p>
          <w:p w:rsidR="00D25149" w:rsidRPr="00D25149" w:rsidRDefault="00D25149" w:rsidP="00D25149">
            <w:pPr>
              <w:tabs>
                <w:tab w:val="left" w:pos="0"/>
                <w:tab w:val="left" w:pos="720"/>
              </w:tabs>
              <w:suppressAutoHyphens/>
              <w:spacing w:line="400" w:lineRule="exact"/>
              <w:jc w:val="left"/>
              <w:rPr>
                <w:rFonts w:ascii="宋体" w:hAnsi="宋体"/>
                <w:bCs/>
                <w:caps/>
                <w:color w:val="000000"/>
                <w:sz w:val="21"/>
                <w:szCs w:val="21"/>
                <w:lang w:eastAsia="zh-CN"/>
              </w:rPr>
            </w:pPr>
            <w:r w:rsidRPr="00D25149">
              <w:rPr>
                <w:rFonts w:ascii="宋体" w:hAnsi="宋体" w:hint="eastAsia"/>
                <w:bCs/>
                <w:caps/>
                <w:color w:val="000000"/>
                <w:sz w:val="21"/>
                <w:szCs w:val="21"/>
                <w:lang w:eastAsia="zh-CN"/>
              </w:rPr>
              <w:t xml:space="preserve">  </w:t>
            </w:r>
          </w:p>
          <w:p w:rsidR="00D25149" w:rsidRPr="00D25149" w:rsidRDefault="00D25149" w:rsidP="00D25149">
            <w:pPr>
              <w:tabs>
                <w:tab w:val="left" w:pos="720"/>
              </w:tabs>
              <w:spacing w:line="400" w:lineRule="exact"/>
              <w:jc w:val="center"/>
              <w:rPr>
                <w:rFonts w:ascii="Times New Roman" w:hAnsi="Times New Roman"/>
                <w:bCs/>
                <w:color w:val="000000"/>
                <w:sz w:val="21"/>
                <w:szCs w:val="21"/>
                <w:lang w:eastAsia="zh-CN"/>
              </w:rPr>
            </w:pPr>
            <w:r w:rsidRPr="00D25149">
              <w:rPr>
                <w:rFonts w:ascii="Times New Roman" w:hAnsi="宋体"/>
                <w:bCs/>
                <w:color w:val="000000"/>
                <w:sz w:val="21"/>
                <w:szCs w:val="21"/>
                <w:u w:val="single"/>
                <w:lang w:eastAsia="zh-CN"/>
              </w:rPr>
              <w:t>补遗</w:t>
            </w:r>
          </w:p>
          <w:p w:rsidR="00D25149" w:rsidRPr="00D25149" w:rsidRDefault="00D25149" w:rsidP="00D25149">
            <w:pPr>
              <w:tabs>
                <w:tab w:val="left" w:pos="0"/>
                <w:tab w:val="left" w:pos="720"/>
              </w:tabs>
              <w:suppressAutoHyphens/>
              <w:spacing w:line="400" w:lineRule="exact"/>
              <w:jc w:val="left"/>
              <w:rPr>
                <w:rFonts w:ascii="Times New Roman" w:hAnsi="Times New Roman"/>
                <w:b/>
                <w:color w:val="000000"/>
                <w:sz w:val="21"/>
                <w:szCs w:val="21"/>
                <w:lang w:eastAsia="zh-CN"/>
              </w:rPr>
            </w:pPr>
            <w:r w:rsidRPr="00D25149">
              <w:rPr>
                <w:rFonts w:ascii="Times New Roman" w:hAnsi="Times New Roman"/>
                <w:b/>
                <w:color w:val="000000"/>
                <w:sz w:val="21"/>
                <w:szCs w:val="21"/>
                <w:lang w:eastAsia="zh-CN"/>
              </w:rPr>
              <w:t xml:space="preserve">  </w:t>
            </w:r>
          </w:p>
          <w:p w:rsidR="00D25149" w:rsidRPr="00D25149" w:rsidRDefault="00D25149" w:rsidP="00D25149">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D25149">
              <w:rPr>
                <w:rFonts w:ascii="Times New Roman" w:hAnsi="宋体"/>
                <w:b/>
                <w:snapToGrid w:val="0"/>
                <w:color w:val="000000"/>
                <w:sz w:val="21"/>
                <w:szCs w:val="21"/>
                <w:lang w:eastAsia="zh-CN"/>
              </w:rPr>
              <w:t>应</w:t>
            </w:r>
            <w:r w:rsidRPr="00D25149">
              <w:rPr>
                <w:rFonts w:ascii="Times New Roman" w:hAnsi="Times New Roman" w:hint="eastAsia"/>
                <w:b/>
                <w:snapToGrid w:val="0"/>
                <w:color w:val="000000"/>
                <w:sz w:val="21"/>
                <w:szCs w:val="21"/>
                <w:lang w:eastAsia="zh-CN"/>
              </w:rPr>
              <w:t>哥斯达黎加</w:t>
            </w:r>
            <w:r w:rsidRPr="00D25149">
              <w:rPr>
                <w:rFonts w:ascii="Times New Roman" w:hAnsi="宋体"/>
                <w:b/>
                <w:snapToGrid w:val="0"/>
                <w:color w:val="000000"/>
                <w:sz w:val="21"/>
                <w:szCs w:val="21"/>
                <w:lang w:eastAsia="zh-CN"/>
              </w:rPr>
              <w:t>代表团的要求，发送</w:t>
            </w:r>
            <w:r w:rsidRPr="00D25149">
              <w:rPr>
                <w:rFonts w:ascii="Times New Roman" w:hAnsi="宋体"/>
                <w:b/>
                <w:snapToGrid w:val="0"/>
                <w:color w:val="000000"/>
                <w:sz w:val="21"/>
                <w:szCs w:val="21"/>
                <w:lang w:eastAsia="zh-CN"/>
              </w:rPr>
              <w:t>2015-05-20</w:t>
            </w:r>
            <w:r w:rsidRPr="00D25149">
              <w:rPr>
                <w:rFonts w:ascii="Times New Roman" w:hAnsi="宋体"/>
                <w:b/>
                <w:snapToGrid w:val="0"/>
                <w:color w:val="000000"/>
                <w:sz w:val="21"/>
                <w:szCs w:val="21"/>
                <w:lang w:eastAsia="zh-CN"/>
              </w:rPr>
              <w:t>如下信息：</w:t>
            </w:r>
          </w:p>
          <w:p w:rsidR="00D25149" w:rsidRPr="00D25149" w:rsidRDefault="00D25149" w:rsidP="00D25149">
            <w:pPr>
              <w:tabs>
                <w:tab w:val="left" w:pos="720"/>
              </w:tabs>
              <w:adjustRightInd w:val="0"/>
              <w:snapToGrid w:val="0"/>
              <w:jc w:val="left"/>
              <w:rPr>
                <w:rFonts w:ascii="Times New Roman" w:hAnsi="宋体"/>
                <w:snapToGrid w:val="0"/>
                <w:sz w:val="21"/>
                <w:szCs w:val="21"/>
                <w:lang w:eastAsia="zh-CN"/>
              </w:rPr>
            </w:pPr>
          </w:p>
          <w:p w:rsidR="00D25149" w:rsidRPr="00D25149" w:rsidRDefault="00D25149" w:rsidP="00D25149">
            <w:pPr>
              <w:tabs>
                <w:tab w:val="left" w:pos="720"/>
              </w:tabs>
              <w:adjustRightInd w:val="0"/>
              <w:snapToGrid w:val="0"/>
              <w:ind w:firstLineChars="200" w:firstLine="420"/>
              <w:jc w:val="left"/>
              <w:rPr>
                <w:rFonts w:ascii="Times New Roman" w:hAnsi="宋体"/>
                <w:snapToGrid w:val="0"/>
                <w:sz w:val="21"/>
                <w:szCs w:val="21"/>
                <w:u w:val="single"/>
                <w:lang w:eastAsia="zh-CN"/>
              </w:rPr>
            </w:pPr>
            <w:r w:rsidRPr="00D25149">
              <w:rPr>
                <w:rFonts w:ascii="Times New Roman" w:hAnsi="Times New Roman"/>
                <w:sz w:val="21"/>
                <w:szCs w:val="21"/>
                <w:u w:val="single"/>
                <w:lang w:eastAsia="zh-CN"/>
              </w:rPr>
              <w:t>适用和控制含农用杀虫剂硫丹</w:t>
            </w:r>
            <w:r w:rsidRPr="00D25149">
              <w:rPr>
                <w:rFonts w:ascii="Times New Roman" w:hAnsi="Times New Roman"/>
                <w:sz w:val="21"/>
                <w:szCs w:val="21"/>
                <w:u w:val="single"/>
                <w:lang w:eastAsia="zh-CN"/>
              </w:rPr>
              <w:t>(</w:t>
            </w:r>
            <w:proofErr w:type="spellStart"/>
            <w:r w:rsidRPr="00D25149">
              <w:rPr>
                <w:rFonts w:ascii="Times New Roman" w:hAnsi="Times New Roman"/>
                <w:sz w:val="21"/>
                <w:szCs w:val="21"/>
                <w:u w:val="single"/>
                <w:lang w:eastAsia="zh-CN"/>
              </w:rPr>
              <w:t>Endosulfan</w:t>
            </w:r>
            <w:proofErr w:type="spellEnd"/>
            <w:r w:rsidRPr="00D25149">
              <w:rPr>
                <w:rFonts w:ascii="Times New Roman" w:hAnsi="Times New Roman"/>
                <w:sz w:val="21"/>
                <w:szCs w:val="21"/>
                <w:u w:val="single"/>
                <w:lang w:eastAsia="zh-CN"/>
              </w:rPr>
              <w:t>)</w:t>
            </w:r>
            <w:r w:rsidRPr="00D25149">
              <w:rPr>
                <w:rFonts w:ascii="Times New Roman" w:hAnsi="Times New Roman"/>
                <w:sz w:val="21"/>
                <w:szCs w:val="21"/>
                <w:u w:val="single"/>
                <w:lang w:eastAsia="zh-CN"/>
              </w:rPr>
              <w:t>的原料及配方产品法规</w:t>
            </w:r>
          </w:p>
          <w:p w:rsidR="00D25149" w:rsidRPr="00D25149" w:rsidRDefault="00D25149" w:rsidP="00D25149">
            <w:pPr>
              <w:adjustRightInd w:val="0"/>
              <w:snapToGrid w:val="0"/>
              <w:jc w:val="left"/>
              <w:rPr>
                <w:rFonts w:ascii="Times New Roman" w:hAnsi="宋体"/>
                <w:snapToGrid w:val="0"/>
                <w:sz w:val="21"/>
                <w:szCs w:val="21"/>
                <w:lang w:eastAsia="zh-CN"/>
              </w:rPr>
            </w:pPr>
          </w:p>
          <w:p w:rsidR="00D25149" w:rsidRPr="00D25149" w:rsidRDefault="00D25149" w:rsidP="00D25149">
            <w:pPr>
              <w:adjustRightInd w:val="0"/>
              <w:snapToGrid w:val="0"/>
              <w:jc w:val="left"/>
              <w:rPr>
                <w:rFonts w:ascii="Times New Roman" w:hAnsi="宋体"/>
                <w:snapToGrid w:val="0"/>
                <w:sz w:val="21"/>
                <w:szCs w:val="21"/>
                <w:lang w:eastAsia="zh-CN"/>
              </w:rPr>
            </w:pPr>
            <w:r w:rsidRPr="00D25149">
              <w:rPr>
                <w:rFonts w:ascii="Times New Roman" w:hAnsi="Times New Roman" w:hint="eastAsia"/>
                <w:sz w:val="21"/>
                <w:szCs w:val="21"/>
                <w:lang w:eastAsia="zh-CN"/>
              </w:rPr>
              <w:t>本通报令调控含农用杀虫剂硫丹</w:t>
            </w:r>
            <w:r w:rsidRPr="00D25149">
              <w:rPr>
                <w:rFonts w:ascii="Times New Roman" w:hAnsi="Times New Roman" w:hint="eastAsia"/>
                <w:sz w:val="21"/>
                <w:szCs w:val="21"/>
                <w:lang w:eastAsia="zh-CN"/>
              </w:rPr>
              <w:t>(</w:t>
            </w:r>
            <w:proofErr w:type="spellStart"/>
            <w:r w:rsidRPr="00D25149">
              <w:rPr>
                <w:rFonts w:ascii="Times New Roman" w:hAnsi="Times New Roman" w:hint="eastAsia"/>
                <w:sz w:val="21"/>
                <w:szCs w:val="21"/>
                <w:lang w:eastAsia="zh-CN"/>
              </w:rPr>
              <w:t>Endosulfan</w:t>
            </w:r>
            <w:proofErr w:type="spellEnd"/>
            <w:r w:rsidRPr="00D25149">
              <w:rPr>
                <w:rFonts w:ascii="Times New Roman" w:hAnsi="Times New Roman" w:hint="eastAsia"/>
                <w:sz w:val="21"/>
                <w:szCs w:val="21"/>
                <w:lang w:eastAsia="zh-CN"/>
              </w:rPr>
              <w:t>)</w:t>
            </w:r>
            <w:r w:rsidRPr="00D25149">
              <w:rPr>
                <w:rFonts w:ascii="Times New Roman" w:hAnsi="Times New Roman" w:hint="eastAsia"/>
                <w:sz w:val="21"/>
                <w:szCs w:val="21"/>
                <w:lang w:eastAsia="zh-CN"/>
              </w:rPr>
              <w:t>的原料及配方产品的适用、销售、处理、配制及重新包装。</w:t>
            </w:r>
            <w:r w:rsidRPr="00D25149">
              <w:rPr>
                <w:rFonts w:ascii="Times New Roman" w:hAnsi="Times New Roman" w:hint="eastAsia"/>
                <w:sz w:val="21"/>
                <w:szCs w:val="21"/>
                <w:lang w:eastAsia="zh-CN"/>
              </w:rPr>
              <w:cr/>
            </w:r>
            <w:r w:rsidRPr="00D25149">
              <w:rPr>
                <w:rFonts w:ascii="Times New Roman" w:hAnsi="Times New Roman" w:hint="eastAsia"/>
                <w:sz w:val="21"/>
                <w:szCs w:val="21"/>
                <w:lang w:eastAsia="zh-CN"/>
              </w:rPr>
              <w:t>全文提供链接</w:t>
            </w:r>
            <w:r w:rsidRPr="00D25149">
              <w:rPr>
                <w:rFonts w:ascii="Times New Roman" w:hAnsi="Times New Roman" w:hint="eastAsia"/>
                <w:sz w:val="21"/>
                <w:szCs w:val="21"/>
                <w:lang w:eastAsia="zh-CN"/>
              </w:rPr>
              <w:t>:</w:t>
            </w:r>
            <w:r w:rsidRPr="00D25149">
              <w:rPr>
                <w:rFonts w:ascii="Times New Roman" w:hAnsi="Times New Roman" w:hint="eastAsia"/>
                <w:sz w:val="21"/>
                <w:szCs w:val="21"/>
                <w:lang w:eastAsia="zh-CN"/>
              </w:rPr>
              <w:cr/>
              <w:t>http://members.wto.org/crnattachments/2015/SPS/CRI/15_1366_00_s.pdf</w:t>
            </w:r>
            <w:r w:rsidRPr="00D25149">
              <w:rPr>
                <w:rFonts w:ascii="Times New Roman" w:hAnsi="Times New Roman" w:hint="eastAsia"/>
                <w:sz w:val="21"/>
                <w:szCs w:val="21"/>
                <w:lang w:eastAsia="zh-CN"/>
              </w:rPr>
              <w:cr/>
              <w:t>http://members.wto.org/crnattachments/2015/SPS/CRI/15_2072_00_s.pdf</w:t>
            </w:r>
            <w:r w:rsidRPr="00D25149">
              <w:rPr>
                <w:rFonts w:ascii="Times New Roman" w:hAnsi="Times New Roman" w:hint="eastAsia"/>
                <w:sz w:val="21"/>
                <w:szCs w:val="21"/>
                <w:lang w:eastAsia="zh-CN"/>
              </w:rPr>
              <w:cr/>
            </w:r>
          </w:p>
          <w:p w:rsidR="00D25149" w:rsidRPr="00D25149" w:rsidRDefault="00D25149" w:rsidP="00D25149">
            <w:pPr>
              <w:adjustRightInd w:val="0"/>
              <w:snapToGrid w:val="0"/>
              <w:ind w:firstLineChars="200" w:firstLine="422"/>
              <w:jc w:val="left"/>
              <w:rPr>
                <w:rFonts w:ascii="Times New Roman" w:hAnsi="Times New Roman"/>
                <w:snapToGrid w:val="0"/>
                <w:sz w:val="21"/>
                <w:szCs w:val="21"/>
                <w:lang w:eastAsia="zh-CN"/>
              </w:rPr>
            </w:pPr>
            <w:r w:rsidRPr="00D25149">
              <w:rPr>
                <w:rFonts w:ascii="Times New Roman" w:hAnsi="宋体"/>
                <w:b/>
                <w:snapToGrid w:val="0"/>
                <w:sz w:val="21"/>
                <w:szCs w:val="21"/>
                <w:lang w:eastAsia="zh-CN"/>
              </w:rPr>
              <w:t>该补遗通报涉及</w:t>
            </w:r>
            <w:r w:rsidRPr="00D25149">
              <w:rPr>
                <w:rFonts w:ascii="Times New Roman" w:hAnsi="Times New Roman"/>
                <w:snapToGrid w:val="0"/>
                <w:sz w:val="21"/>
                <w:szCs w:val="21"/>
                <w:lang w:eastAsia="zh-CN"/>
              </w:rPr>
              <w:t>:</w:t>
            </w:r>
          </w:p>
          <w:p w:rsidR="00D25149" w:rsidRPr="00D25149" w:rsidRDefault="00D25149" w:rsidP="00D25149">
            <w:pPr>
              <w:adjustRightInd w:val="0"/>
              <w:snapToGrid w:val="0"/>
              <w:jc w:val="left"/>
              <w:rPr>
                <w:rFonts w:ascii="Times New Roman" w:hAnsi="Times New Roman"/>
                <w:snapToGrid w:val="0"/>
                <w:sz w:val="21"/>
                <w:szCs w:val="21"/>
                <w:lang w:eastAsia="zh-CN"/>
              </w:rPr>
            </w:pPr>
          </w:p>
          <w:p w:rsidR="00D25149" w:rsidRPr="00D25149" w:rsidRDefault="00D25149" w:rsidP="00D25149">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D25149">
              <w:rPr>
                <w:rFonts w:ascii="Times New Roman" w:hAnsi="Times New Roman"/>
                <w:snapToGrid w:val="0"/>
                <w:sz w:val="21"/>
                <w:szCs w:val="21"/>
                <w:lang w:eastAsia="zh-CN"/>
              </w:rPr>
              <w:tab/>
              <w:t>[   ]</w:t>
            </w:r>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意见反馈截止日期的修订</w:t>
            </w:r>
          </w:p>
          <w:p w:rsidR="00D25149" w:rsidRPr="00D25149" w:rsidRDefault="00D25149" w:rsidP="00D25149">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D25149">
              <w:rPr>
                <w:rFonts w:ascii="Times New Roman" w:hAnsi="Times New Roman"/>
                <w:snapToGrid w:val="0"/>
                <w:sz w:val="21"/>
                <w:szCs w:val="21"/>
                <w:lang w:eastAsia="zh-CN"/>
              </w:rPr>
              <w:tab/>
              <w:t>[   ]</w:t>
            </w:r>
            <w:proofErr w:type="gramStart"/>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法规</w:t>
            </w:r>
            <w:proofErr w:type="gramEnd"/>
            <w:r w:rsidRPr="00D25149">
              <w:rPr>
                <w:rFonts w:ascii="Times New Roman" w:hAnsi="宋体"/>
                <w:snapToGrid w:val="0"/>
                <w:sz w:val="21"/>
                <w:szCs w:val="21"/>
                <w:lang w:eastAsia="zh-CN"/>
              </w:rPr>
              <w:t>批准、生效、公布的通报</w:t>
            </w:r>
          </w:p>
          <w:p w:rsidR="00D25149" w:rsidRPr="00D25149" w:rsidRDefault="00D25149" w:rsidP="00D25149">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D25149">
              <w:rPr>
                <w:rFonts w:ascii="Times New Roman" w:hAnsi="Times New Roman"/>
                <w:snapToGrid w:val="0"/>
                <w:sz w:val="21"/>
                <w:szCs w:val="21"/>
                <w:lang w:eastAsia="zh-CN"/>
              </w:rPr>
              <w:tab/>
              <w:t>[   ]</w:t>
            </w:r>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以前通报的法规草案的内容及</w:t>
            </w:r>
            <w:r w:rsidRPr="00D25149">
              <w:rPr>
                <w:rFonts w:ascii="Times New Roman" w:hAnsi="Times New Roman"/>
                <w:snapToGrid w:val="0"/>
                <w:sz w:val="21"/>
                <w:szCs w:val="21"/>
                <w:lang w:eastAsia="zh-CN"/>
              </w:rPr>
              <w:t>/</w:t>
            </w:r>
            <w:r w:rsidRPr="00D25149">
              <w:rPr>
                <w:rFonts w:ascii="Times New Roman" w:hAnsi="宋体"/>
                <w:snapToGrid w:val="0"/>
                <w:sz w:val="21"/>
                <w:szCs w:val="21"/>
                <w:lang w:eastAsia="zh-CN"/>
              </w:rPr>
              <w:t>或范围的修改</w:t>
            </w:r>
          </w:p>
          <w:p w:rsidR="00D25149" w:rsidRPr="00D25149" w:rsidRDefault="00D25149" w:rsidP="00D25149">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D25149">
              <w:rPr>
                <w:rFonts w:ascii="Times New Roman" w:hAnsi="Times New Roman"/>
                <w:snapToGrid w:val="0"/>
                <w:sz w:val="21"/>
                <w:szCs w:val="21"/>
                <w:lang w:eastAsia="zh-CN"/>
              </w:rPr>
              <w:tab/>
              <w:t>[ X ]</w:t>
            </w:r>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撤消拟定法规</w:t>
            </w:r>
          </w:p>
          <w:p w:rsidR="00D25149" w:rsidRPr="00D25149" w:rsidRDefault="00D25149" w:rsidP="00D25149">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D25149">
              <w:rPr>
                <w:rFonts w:ascii="Times New Roman" w:hAnsi="Times New Roman"/>
                <w:snapToGrid w:val="0"/>
                <w:sz w:val="21"/>
                <w:szCs w:val="21"/>
                <w:lang w:eastAsia="zh-CN"/>
              </w:rPr>
              <w:tab/>
              <w:t>[   ]</w:t>
            </w:r>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更改拟定批准日期</w:t>
            </w:r>
            <w:r w:rsidRPr="00D25149">
              <w:rPr>
                <w:rFonts w:ascii="Times New Roman" w:hAnsi="Times New Roman"/>
                <w:snapToGrid w:val="0"/>
                <w:sz w:val="21"/>
                <w:szCs w:val="21"/>
                <w:lang w:eastAsia="zh-CN"/>
              </w:rPr>
              <w:t xml:space="preserve">, </w:t>
            </w:r>
            <w:r w:rsidRPr="00D25149">
              <w:rPr>
                <w:rFonts w:ascii="Times New Roman" w:hAnsi="宋体"/>
                <w:snapToGrid w:val="0"/>
                <w:sz w:val="21"/>
                <w:szCs w:val="21"/>
                <w:lang w:eastAsia="zh-CN"/>
              </w:rPr>
              <w:t>公布或生效日期</w:t>
            </w:r>
          </w:p>
          <w:p w:rsidR="00D25149" w:rsidRPr="00D25149" w:rsidRDefault="00D25149" w:rsidP="00D25149">
            <w:pPr>
              <w:tabs>
                <w:tab w:val="left" w:pos="720"/>
                <w:tab w:val="left" w:pos="1440"/>
              </w:tabs>
              <w:adjustRightInd w:val="0"/>
              <w:snapToGrid w:val="0"/>
              <w:ind w:left="1440" w:hanging="1440"/>
              <w:jc w:val="left"/>
              <w:rPr>
                <w:rFonts w:ascii="Times New Roman" w:hAnsi="宋体"/>
                <w:snapToGrid w:val="0"/>
                <w:sz w:val="21"/>
                <w:szCs w:val="21"/>
                <w:lang w:eastAsia="zh-CN"/>
              </w:rPr>
            </w:pPr>
            <w:r w:rsidRPr="00D25149">
              <w:rPr>
                <w:rFonts w:ascii="Times New Roman" w:hAnsi="Times New Roman"/>
                <w:snapToGrid w:val="0"/>
                <w:sz w:val="21"/>
                <w:szCs w:val="21"/>
                <w:lang w:eastAsia="zh-CN"/>
              </w:rPr>
              <w:tab/>
              <w:t>[ X ]</w:t>
            </w:r>
            <w:r w:rsidRPr="00D25149">
              <w:rPr>
                <w:rFonts w:ascii="Times New Roman" w:hAnsi="Times New Roman"/>
                <w:snapToGrid w:val="0"/>
                <w:sz w:val="21"/>
                <w:szCs w:val="21"/>
                <w:lang w:eastAsia="zh-CN"/>
              </w:rPr>
              <w:tab/>
            </w:r>
            <w:r w:rsidRPr="00D25149">
              <w:rPr>
                <w:rFonts w:ascii="Times New Roman" w:hAnsi="宋体"/>
                <w:snapToGrid w:val="0"/>
                <w:sz w:val="21"/>
                <w:szCs w:val="21"/>
                <w:lang w:eastAsia="zh-CN"/>
              </w:rPr>
              <w:t>其它</w:t>
            </w:r>
            <w:r w:rsidRPr="00D25149">
              <w:rPr>
                <w:rFonts w:ascii="Times New Roman" w:hAnsi="宋体"/>
                <w:snapToGrid w:val="0"/>
                <w:sz w:val="21"/>
                <w:szCs w:val="21"/>
                <w:lang w:eastAsia="zh-CN"/>
              </w:rPr>
              <w:t>:</w:t>
            </w:r>
            <w:r w:rsidRPr="00D25149">
              <w:rPr>
                <w:rFonts w:ascii="Times New Roman" w:hAnsi="Times New Roman"/>
                <w:color w:val="808080"/>
                <w:sz w:val="22"/>
                <w:szCs w:val="20"/>
                <w:lang w:eastAsia="zh-CN"/>
              </w:rPr>
              <w:t>废除第</w:t>
            </w:r>
            <w:r w:rsidRPr="00D25149">
              <w:rPr>
                <w:rFonts w:ascii="Times New Roman" w:hAnsi="Times New Roman"/>
                <w:color w:val="808080"/>
                <w:sz w:val="22"/>
                <w:szCs w:val="20"/>
                <w:lang w:eastAsia="zh-CN"/>
              </w:rPr>
              <w:t>34782-S-MAG-MTSS-MINAE</w:t>
            </w:r>
            <w:r w:rsidRPr="00D25149">
              <w:rPr>
                <w:rFonts w:ascii="Times New Roman" w:hAnsi="Times New Roman"/>
                <w:color w:val="808080"/>
                <w:sz w:val="22"/>
                <w:szCs w:val="20"/>
                <w:lang w:eastAsia="zh-CN"/>
              </w:rPr>
              <w:t>号执行令。</w:t>
            </w:r>
          </w:p>
          <w:p w:rsidR="00D25149" w:rsidRPr="00D25149" w:rsidRDefault="00D25149" w:rsidP="00D25149">
            <w:pPr>
              <w:adjustRightInd w:val="0"/>
              <w:snapToGrid w:val="0"/>
              <w:jc w:val="left"/>
              <w:rPr>
                <w:rFonts w:ascii="Times New Roman" w:hAnsi="宋体"/>
                <w:snapToGrid w:val="0"/>
                <w:sz w:val="21"/>
                <w:szCs w:val="21"/>
                <w:lang w:eastAsia="zh-CN"/>
              </w:rPr>
            </w:pPr>
          </w:p>
          <w:p w:rsidR="00D25149" w:rsidRPr="00D25149" w:rsidRDefault="00D25149" w:rsidP="00D25149">
            <w:pPr>
              <w:adjustRightInd w:val="0"/>
              <w:snapToGrid w:val="0"/>
              <w:jc w:val="left"/>
              <w:rPr>
                <w:rFonts w:ascii="Times New Roman" w:hAnsi="Times New Roman"/>
                <w:i/>
                <w:snapToGrid w:val="0"/>
                <w:sz w:val="21"/>
                <w:szCs w:val="21"/>
                <w:lang w:eastAsia="zh-CN"/>
              </w:rPr>
            </w:pPr>
            <w:r w:rsidRPr="00D25149">
              <w:rPr>
                <w:rFonts w:ascii="Times New Roman" w:hAnsi="宋体"/>
                <w:b/>
                <w:snapToGrid w:val="0"/>
                <w:sz w:val="21"/>
                <w:szCs w:val="21"/>
                <w:lang w:eastAsia="zh-CN"/>
              </w:rPr>
              <w:t>评议期：</w:t>
            </w:r>
            <w:r w:rsidRPr="00D25149">
              <w:rPr>
                <w:rFonts w:ascii="Times New Roman" w:hAnsi="Times New Roman"/>
                <w:i/>
                <w:snapToGrid w:val="0"/>
                <w:sz w:val="21"/>
                <w:szCs w:val="21"/>
                <w:lang w:eastAsia="zh-CN"/>
              </w:rPr>
              <w:t>(</w:t>
            </w:r>
            <w:r w:rsidRPr="00D25149">
              <w:rPr>
                <w:rFonts w:ascii="Times New Roman" w:hAnsi="宋体"/>
                <w:i/>
                <w:snapToGrid w:val="0"/>
                <w:sz w:val="21"/>
                <w:szCs w:val="21"/>
                <w:lang w:eastAsia="zh-CN"/>
              </w:rPr>
              <w:t>如补遗通知增加了以前通报措施涉及的产品及</w:t>
            </w:r>
            <w:r w:rsidRPr="00D25149">
              <w:rPr>
                <w:rFonts w:ascii="Times New Roman" w:hAnsi="Times New Roman"/>
                <w:i/>
                <w:snapToGrid w:val="0"/>
                <w:sz w:val="21"/>
                <w:szCs w:val="21"/>
                <w:lang w:eastAsia="zh-CN"/>
              </w:rPr>
              <w:t>/</w:t>
            </w:r>
            <w:r w:rsidRPr="00D25149">
              <w:rPr>
                <w:rFonts w:ascii="Times New Roman" w:hAnsi="宋体"/>
                <w:i/>
                <w:snapToGrid w:val="0"/>
                <w:sz w:val="21"/>
                <w:szCs w:val="21"/>
                <w:lang w:eastAsia="zh-CN"/>
              </w:rPr>
              <w:t>或可能受影响的成员范围，则应提供一个新的接收评议截止日期，通常至少为</w:t>
            </w:r>
            <w:r w:rsidRPr="00D25149">
              <w:rPr>
                <w:rFonts w:ascii="Times New Roman" w:hAnsi="Times New Roman"/>
                <w:i/>
                <w:snapToGrid w:val="0"/>
                <w:sz w:val="21"/>
                <w:szCs w:val="21"/>
                <w:lang w:eastAsia="zh-CN"/>
              </w:rPr>
              <w:t>60</w:t>
            </w:r>
            <w:r w:rsidRPr="00D25149">
              <w:rPr>
                <w:rFonts w:ascii="Times New Roman" w:hAnsi="宋体"/>
                <w:i/>
                <w:snapToGrid w:val="0"/>
                <w:sz w:val="21"/>
                <w:szCs w:val="21"/>
                <w:lang w:eastAsia="zh-CN"/>
              </w:rPr>
              <w:t>天</w:t>
            </w:r>
            <w:r w:rsidRPr="00D25149">
              <w:rPr>
                <w:rFonts w:ascii="Times New Roman" w:hAnsi="宋体"/>
                <w:snapToGrid w:val="0"/>
                <w:sz w:val="21"/>
                <w:szCs w:val="21"/>
                <w:lang w:eastAsia="zh-CN"/>
              </w:rPr>
              <w:t>。</w:t>
            </w:r>
            <w:r w:rsidRPr="00D25149">
              <w:rPr>
                <w:rFonts w:ascii="Times New Roman" w:hAnsi="宋体"/>
                <w:i/>
                <w:snapToGrid w:val="0"/>
                <w:sz w:val="21"/>
                <w:szCs w:val="21"/>
                <w:lang w:eastAsia="zh-CN"/>
              </w:rPr>
              <w:t>其它情况，如延长原定的最终评议期，则可以更改补遗通报内的评议期。</w:t>
            </w:r>
            <w:r w:rsidRPr="00D25149">
              <w:rPr>
                <w:rFonts w:ascii="Times New Roman" w:hAnsi="Times New Roman"/>
                <w:i/>
                <w:snapToGrid w:val="0"/>
                <w:sz w:val="21"/>
                <w:szCs w:val="21"/>
                <w:lang w:eastAsia="zh-CN"/>
              </w:rPr>
              <w:t>)</w:t>
            </w:r>
          </w:p>
          <w:p w:rsidR="00D25149" w:rsidRPr="00D25149" w:rsidRDefault="00D25149" w:rsidP="00D25149">
            <w:pPr>
              <w:adjustRightInd w:val="0"/>
              <w:snapToGrid w:val="0"/>
              <w:jc w:val="left"/>
              <w:rPr>
                <w:rFonts w:ascii="Times New Roman" w:hAnsi="Times New Roman"/>
                <w:snapToGrid w:val="0"/>
                <w:sz w:val="21"/>
                <w:szCs w:val="21"/>
                <w:lang w:eastAsia="zh-CN"/>
              </w:rPr>
            </w:pPr>
          </w:p>
          <w:p w:rsidR="00D25149" w:rsidRPr="00D25149" w:rsidRDefault="00D25149" w:rsidP="00D25149">
            <w:pPr>
              <w:tabs>
                <w:tab w:val="left" w:pos="720"/>
                <w:tab w:val="left" w:pos="1440"/>
              </w:tabs>
              <w:adjustRightInd w:val="0"/>
              <w:snapToGrid w:val="0"/>
              <w:ind w:left="1440" w:hanging="1440"/>
              <w:jc w:val="left"/>
              <w:rPr>
                <w:rFonts w:ascii="Times New Roman" w:hAnsi="宋体"/>
                <w:snapToGrid w:val="0"/>
                <w:sz w:val="21"/>
                <w:szCs w:val="21"/>
                <w:lang w:eastAsia="zh-CN"/>
              </w:rPr>
            </w:pPr>
            <w:r w:rsidRPr="00D25149">
              <w:rPr>
                <w:rFonts w:ascii="Times New Roman" w:hAnsi="Times New Roman"/>
                <w:snapToGrid w:val="0"/>
                <w:sz w:val="21"/>
                <w:szCs w:val="21"/>
                <w:lang w:eastAsia="zh-CN"/>
              </w:rPr>
              <w:tab/>
            </w:r>
            <w:r w:rsidRPr="00D25149">
              <w:rPr>
                <w:rFonts w:ascii="Times New Roman" w:hAnsi="Times New Roman"/>
                <w:snapToGrid w:val="0"/>
                <w:sz w:val="21"/>
                <w:szCs w:val="21"/>
                <w:lang w:eastAsia="zh-CN"/>
              </w:rPr>
              <w:tab/>
              <w:t xml:space="preserve">[ </w:t>
            </w:r>
            <w:r w:rsidRPr="00D25149">
              <w:rPr>
                <w:rFonts w:ascii="Times New Roman" w:hAnsi="宋体"/>
                <w:b/>
                <w:snapToGrid w:val="0"/>
                <w:sz w:val="21"/>
                <w:szCs w:val="21"/>
                <w:lang w:eastAsia="zh-CN"/>
              </w:rPr>
              <w:t xml:space="preserve"> ]</w:t>
            </w:r>
            <w:r w:rsidRPr="00D25149">
              <w:rPr>
                <w:rFonts w:ascii="Times New Roman" w:hAnsi="宋体"/>
                <w:b/>
                <w:snapToGrid w:val="0"/>
                <w:sz w:val="21"/>
                <w:szCs w:val="21"/>
                <w:lang w:eastAsia="zh-CN"/>
              </w:rPr>
              <w:t>补遗通报发布日后</w:t>
            </w:r>
            <w:r w:rsidRPr="00D25149">
              <w:rPr>
                <w:rFonts w:ascii="Times New Roman" w:hAnsi="Times New Roman"/>
                <w:b/>
                <w:snapToGrid w:val="0"/>
                <w:sz w:val="21"/>
                <w:szCs w:val="21"/>
                <w:lang w:eastAsia="zh-CN"/>
              </w:rPr>
              <w:t>60</w:t>
            </w:r>
            <w:r w:rsidRPr="00D25149">
              <w:rPr>
                <w:rFonts w:ascii="Times New Roman" w:hAnsi="宋体"/>
                <w:b/>
                <w:snapToGrid w:val="0"/>
                <w:sz w:val="21"/>
                <w:szCs w:val="21"/>
                <w:lang w:eastAsia="zh-CN"/>
              </w:rPr>
              <w:t>天及或</w:t>
            </w:r>
            <w:r w:rsidRPr="00D25149">
              <w:rPr>
                <w:rFonts w:ascii="Times New Roman" w:hAnsi="Times New Roman"/>
                <w:b/>
                <w:snapToGrid w:val="0"/>
                <w:sz w:val="21"/>
                <w:szCs w:val="21"/>
                <w:lang w:eastAsia="zh-CN"/>
              </w:rPr>
              <w:t>(</w:t>
            </w:r>
            <w:r w:rsidRPr="00D25149">
              <w:rPr>
                <w:rFonts w:ascii="Times New Roman" w:hAnsi="宋体"/>
                <w:b/>
                <w:i/>
                <w:snapToGrid w:val="0"/>
                <w:sz w:val="21"/>
                <w:szCs w:val="21"/>
                <w:lang w:eastAsia="zh-CN"/>
              </w:rPr>
              <w:t>年</w:t>
            </w:r>
            <w:r w:rsidRPr="00D25149">
              <w:rPr>
                <w:rFonts w:ascii="Times New Roman" w:hAnsi="Times New Roman"/>
                <w:b/>
                <w:i/>
                <w:snapToGrid w:val="0"/>
                <w:sz w:val="21"/>
                <w:szCs w:val="21"/>
                <w:lang w:eastAsia="zh-CN"/>
              </w:rPr>
              <w:t>/</w:t>
            </w:r>
            <w:r w:rsidRPr="00D25149">
              <w:rPr>
                <w:rFonts w:ascii="Times New Roman" w:hAnsi="宋体"/>
                <w:b/>
                <w:i/>
                <w:snapToGrid w:val="0"/>
                <w:sz w:val="21"/>
                <w:szCs w:val="21"/>
                <w:lang w:eastAsia="zh-CN"/>
              </w:rPr>
              <w:t>月</w:t>
            </w:r>
            <w:r w:rsidRPr="00D25149">
              <w:rPr>
                <w:rFonts w:ascii="Times New Roman" w:hAnsi="Times New Roman"/>
                <w:b/>
                <w:i/>
                <w:snapToGrid w:val="0"/>
                <w:sz w:val="21"/>
                <w:szCs w:val="21"/>
                <w:lang w:eastAsia="zh-CN"/>
              </w:rPr>
              <w:t>/</w:t>
            </w:r>
            <w:r w:rsidRPr="00D25149">
              <w:rPr>
                <w:rFonts w:ascii="Times New Roman" w:hAnsi="宋体"/>
                <w:b/>
                <w:i/>
                <w:snapToGrid w:val="0"/>
                <w:sz w:val="21"/>
                <w:szCs w:val="21"/>
                <w:lang w:eastAsia="zh-CN"/>
              </w:rPr>
              <w:t>日</w:t>
            </w:r>
            <w:r w:rsidRPr="00D25149">
              <w:rPr>
                <w:rFonts w:ascii="Times New Roman" w:hAnsi="Times New Roman"/>
                <w:b/>
                <w:i/>
                <w:snapToGrid w:val="0"/>
                <w:sz w:val="21"/>
                <w:szCs w:val="21"/>
                <w:lang w:eastAsia="zh-CN"/>
              </w:rPr>
              <w:t>)</w:t>
            </w:r>
            <w:r w:rsidRPr="00D25149">
              <w:rPr>
                <w:rFonts w:ascii="Times New Roman" w:hAnsi="宋体"/>
                <w:b/>
                <w:snapToGrid w:val="0"/>
                <w:sz w:val="21"/>
                <w:szCs w:val="21"/>
                <w:lang w:eastAsia="zh-CN"/>
              </w:rPr>
              <w:t>：</w:t>
            </w:r>
            <w:r w:rsidRPr="00D25149">
              <w:rPr>
                <w:rFonts w:ascii="Times New Roman" w:hAnsi="Times New Roman" w:hint="eastAsia"/>
                <w:sz w:val="21"/>
                <w:szCs w:val="21"/>
                <w:lang w:eastAsia="zh-CN"/>
              </w:rPr>
              <w:t>不适用</w:t>
            </w:r>
          </w:p>
          <w:p w:rsidR="00D25149" w:rsidRPr="00D25149" w:rsidRDefault="00D25149" w:rsidP="00D25149">
            <w:pPr>
              <w:tabs>
                <w:tab w:val="left" w:pos="720"/>
                <w:tab w:val="left" w:pos="1440"/>
              </w:tabs>
              <w:adjustRightInd w:val="0"/>
              <w:snapToGrid w:val="0"/>
              <w:ind w:left="1440" w:hanging="1440"/>
              <w:jc w:val="left"/>
              <w:rPr>
                <w:rFonts w:ascii="Times New Roman" w:hAnsi="宋体"/>
                <w:snapToGrid w:val="0"/>
                <w:sz w:val="21"/>
                <w:szCs w:val="21"/>
                <w:lang w:eastAsia="zh-CN"/>
              </w:rPr>
            </w:pPr>
          </w:p>
          <w:p w:rsidR="00D25149" w:rsidRPr="00D25149" w:rsidRDefault="00D25149" w:rsidP="00D25149">
            <w:pPr>
              <w:tabs>
                <w:tab w:val="left" w:pos="720"/>
              </w:tabs>
              <w:adjustRightInd w:val="0"/>
              <w:snapToGrid w:val="0"/>
              <w:jc w:val="left"/>
              <w:rPr>
                <w:rFonts w:ascii="Times New Roman" w:hAnsi="Times New Roman"/>
                <w:sz w:val="21"/>
                <w:szCs w:val="21"/>
                <w:lang w:val="es-ES" w:eastAsia="zh-CN"/>
              </w:rPr>
            </w:pPr>
            <w:r w:rsidRPr="00D25149">
              <w:rPr>
                <w:rFonts w:ascii="Times New Roman" w:hAnsi="宋体"/>
                <w:b/>
                <w:snapToGrid w:val="0"/>
                <w:color w:val="000000"/>
                <w:sz w:val="21"/>
                <w:szCs w:val="21"/>
                <w:lang w:eastAsia="zh-CN"/>
              </w:rPr>
              <w:t>负责处理反馈意见的机构</w:t>
            </w:r>
            <w:r w:rsidRPr="00D25149">
              <w:rPr>
                <w:rFonts w:ascii="Times New Roman" w:hAnsi="Times New Roman"/>
                <w:b/>
                <w:snapToGrid w:val="0"/>
                <w:color w:val="000000"/>
                <w:sz w:val="21"/>
                <w:szCs w:val="21"/>
                <w:lang w:eastAsia="zh-CN"/>
              </w:rPr>
              <w:t>: [ X ]</w:t>
            </w:r>
            <w:r w:rsidRPr="00D25149">
              <w:rPr>
                <w:rFonts w:ascii="Times New Roman" w:hAnsi="宋体"/>
                <w:b/>
                <w:snapToGrid w:val="0"/>
                <w:color w:val="000000"/>
                <w:sz w:val="21"/>
                <w:szCs w:val="21"/>
                <w:lang w:eastAsia="zh-CN"/>
              </w:rPr>
              <w:t>国家通报机构，</w:t>
            </w:r>
            <w:r w:rsidRPr="00D25149">
              <w:rPr>
                <w:rFonts w:ascii="Times New Roman" w:hAnsi="Times New Roman"/>
                <w:b/>
                <w:snapToGrid w:val="0"/>
                <w:color w:val="000000"/>
                <w:sz w:val="21"/>
                <w:szCs w:val="21"/>
                <w:lang w:eastAsia="zh-CN"/>
              </w:rPr>
              <w:t>[ ]</w:t>
            </w:r>
            <w:r w:rsidRPr="00D25149">
              <w:rPr>
                <w:rFonts w:ascii="Times New Roman" w:hAnsi="宋体"/>
                <w:b/>
                <w:snapToGrid w:val="0"/>
                <w:color w:val="000000"/>
                <w:sz w:val="21"/>
                <w:szCs w:val="21"/>
                <w:lang w:eastAsia="zh-CN"/>
              </w:rPr>
              <w:t>国家咨询点，或其他机构的联系地址、传真及电子邮件地址</w:t>
            </w:r>
            <w:r w:rsidRPr="00D25149">
              <w:rPr>
                <w:rFonts w:ascii="Times New Roman" w:hAnsi="Times New Roman"/>
                <w:b/>
                <w:snapToGrid w:val="0"/>
                <w:color w:val="000000"/>
                <w:sz w:val="21"/>
                <w:szCs w:val="21"/>
                <w:lang w:eastAsia="zh-CN"/>
              </w:rPr>
              <w:t>(</w:t>
            </w:r>
            <w:r w:rsidRPr="00D25149">
              <w:rPr>
                <w:rFonts w:ascii="Times New Roman" w:hAnsi="宋体"/>
                <w:b/>
                <w:snapToGrid w:val="0"/>
                <w:color w:val="000000"/>
                <w:sz w:val="21"/>
                <w:szCs w:val="21"/>
                <w:lang w:eastAsia="zh-CN"/>
              </w:rPr>
              <w:t>如能提供</w:t>
            </w:r>
            <w:r w:rsidRPr="00D25149">
              <w:rPr>
                <w:rFonts w:ascii="Times New Roman" w:hAnsi="宋体"/>
                <w:b/>
                <w:snapToGrid w:val="0"/>
                <w:color w:val="000000"/>
                <w:sz w:val="21"/>
                <w:szCs w:val="21"/>
                <w:lang w:eastAsia="zh-CN"/>
              </w:rPr>
              <w:t xml:space="preserve">): </w:t>
            </w:r>
          </w:p>
          <w:p w:rsidR="00D25149" w:rsidRPr="00D25149" w:rsidRDefault="00D25149" w:rsidP="00D25149">
            <w:pPr>
              <w:tabs>
                <w:tab w:val="left" w:pos="720"/>
              </w:tabs>
              <w:adjustRightInd w:val="0"/>
              <w:snapToGrid w:val="0"/>
              <w:jc w:val="left"/>
              <w:rPr>
                <w:rFonts w:ascii="Times New Roman" w:hAnsi="宋体"/>
                <w:snapToGrid w:val="0"/>
                <w:color w:val="000000"/>
                <w:sz w:val="21"/>
                <w:szCs w:val="21"/>
                <w:lang w:eastAsia="zh-CN"/>
              </w:rPr>
            </w:pPr>
          </w:p>
          <w:p w:rsidR="00D25149" w:rsidRPr="00D25149" w:rsidRDefault="00D25149" w:rsidP="00D25149">
            <w:pPr>
              <w:tabs>
                <w:tab w:val="left" w:pos="720"/>
              </w:tabs>
              <w:adjustRightInd w:val="0"/>
              <w:snapToGrid w:val="0"/>
              <w:jc w:val="left"/>
              <w:rPr>
                <w:rFonts w:ascii="Times New Roman" w:hAnsi="宋体"/>
                <w:snapToGrid w:val="0"/>
                <w:color w:val="000000"/>
                <w:sz w:val="21"/>
                <w:szCs w:val="21"/>
                <w:lang w:val="fr-FR" w:eastAsia="zh-CN"/>
              </w:rPr>
            </w:pPr>
            <w:r w:rsidRPr="00D25149">
              <w:rPr>
                <w:rFonts w:ascii="Times New Roman" w:hAnsi="宋体"/>
                <w:b/>
                <w:snapToGrid w:val="0"/>
                <w:color w:val="000000"/>
                <w:sz w:val="21"/>
                <w:szCs w:val="21"/>
                <w:lang w:eastAsia="zh-CN"/>
              </w:rPr>
              <w:t>文本可从以下机构得到</w:t>
            </w:r>
            <w:r w:rsidRPr="00D25149">
              <w:rPr>
                <w:rFonts w:ascii="Times New Roman" w:hAnsi="Times New Roman"/>
                <w:b/>
                <w:snapToGrid w:val="0"/>
                <w:color w:val="000000"/>
                <w:sz w:val="21"/>
                <w:szCs w:val="21"/>
                <w:lang w:eastAsia="zh-CN"/>
              </w:rPr>
              <w:t>: [X ]</w:t>
            </w:r>
            <w:r w:rsidRPr="00D25149">
              <w:rPr>
                <w:rFonts w:ascii="Times New Roman" w:hAnsi="宋体"/>
                <w:b/>
                <w:snapToGrid w:val="0"/>
                <w:color w:val="000000"/>
                <w:sz w:val="21"/>
                <w:szCs w:val="21"/>
                <w:lang w:eastAsia="zh-CN"/>
              </w:rPr>
              <w:t>国家通报机构，</w:t>
            </w:r>
            <w:r w:rsidRPr="00D25149">
              <w:rPr>
                <w:rFonts w:ascii="Times New Roman" w:hAnsi="Times New Roman"/>
                <w:b/>
                <w:snapToGrid w:val="0"/>
                <w:color w:val="000000"/>
                <w:sz w:val="21"/>
                <w:szCs w:val="21"/>
                <w:lang w:eastAsia="zh-CN"/>
              </w:rPr>
              <w:t>[X ]</w:t>
            </w:r>
            <w:r w:rsidRPr="00D25149">
              <w:rPr>
                <w:rFonts w:ascii="Times New Roman" w:hAnsi="宋体"/>
                <w:b/>
                <w:snapToGrid w:val="0"/>
                <w:color w:val="000000"/>
                <w:sz w:val="21"/>
                <w:szCs w:val="21"/>
                <w:lang w:eastAsia="zh-CN"/>
              </w:rPr>
              <w:t>国家咨询点，或其它机构的联系地址、传真及电子邮件地址</w:t>
            </w:r>
            <w:r w:rsidRPr="00D25149">
              <w:rPr>
                <w:rFonts w:ascii="Times New Roman" w:hAnsi="Times New Roman"/>
                <w:b/>
                <w:snapToGrid w:val="0"/>
                <w:color w:val="000000"/>
                <w:sz w:val="21"/>
                <w:szCs w:val="21"/>
                <w:lang w:eastAsia="zh-CN"/>
              </w:rPr>
              <w:t>(</w:t>
            </w:r>
            <w:r w:rsidRPr="00D25149">
              <w:rPr>
                <w:rFonts w:ascii="Times New Roman" w:hAnsi="宋体"/>
                <w:b/>
                <w:snapToGrid w:val="0"/>
                <w:color w:val="000000"/>
                <w:sz w:val="21"/>
                <w:szCs w:val="21"/>
                <w:lang w:eastAsia="zh-CN"/>
              </w:rPr>
              <w:t>如能提供</w:t>
            </w:r>
            <w:r w:rsidRPr="00D25149">
              <w:rPr>
                <w:rFonts w:ascii="Times New Roman" w:hAnsi="宋体"/>
                <w:b/>
                <w:snapToGrid w:val="0"/>
                <w:color w:val="000000"/>
                <w:sz w:val="21"/>
                <w:szCs w:val="21"/>
                <w:lang w:eastAsia="zh-CN"/>
              </w:rPr>
              <w:t xml:space="preserve">): </w:t>
            </w:r>
            <w:r w:rsidRPr="00D25149">
              <w:rPr>
                <w:rFonts w:ascii="Times New Roman" w:hAnsi="Times New Roman"/>
                <w:sz w:val="21"/>
                <w:szCs w:val="21"/>
                <w:lang w:val="es-ES" w:eastAsia="zh-CN"/>
              </w:rPr>
              <w:br/>
              <w:t>MinisteriodeAgriculturayGanaderíaServicioFitosanitariodelEstado(SFE)CentrodeInformaciónyNotificaciónMSFApartadoPostal1521–1200SanJosé,CostaRicaTel.:(+506)2549-3454Fax:(+506)2549-3598E-mail:puntocontactoMSF@sfe.go.cr</w:t>
            </w:r>
          </w:p>
          <w:p w:rsidR="00D25149" w:rsidRPr="00D25149" w:rsidRDefault="00D25149" w:rsidP="00D25149">
            <w:pPr>
              <w:tabs>
                <w:tab w:val="left" w:pos="0"/>
                <w:tab w:val="left" w:pos="720"/>
              </w:tabs>
              <w:suppressAutoHyphens/>
              <w:adjustRightInd w:val="0"/>
              <w:snapToGrid w:val="0"/>
              <w:jc w:val="left"/>
              <w:rPr>
                <w:rFonts w:ascii="Times New Roman" w:hAnsi="宋体"/>
                <w:spacing w:val="-2"/>
                <w:sz w:val="21"/>
                <w:szCs w:val="21"/>
                <w:lang w:val="fr-FR" w:eastAsia="zh-CN"/>
              </w:rPr>
            </w:pPr>
          </w:p>
          <w:p w:rsidR="00D25149" w:rsidRPr="00D25149" w:rsidRDefault="00D25149" w:rsidP="00D25149">
            <w:pPr>
              <w:tabs>
                <w:tab w:val="left" w:pos="720"/>
              </w:tabs>
              <w:jc w:val="left"/>
              <w:rPr>
                <w:rFonts w:ascii="Times New Roman" w:hAnsi="Times New Roman"/>
                <w:sz w:val="21"/>
                <w:szCs w:val="21"/>
                <w:lang w:val="fr-FR" w:eastAsia="zh-CN"/>
              </w:rPr>
            </w:pPr>
          </w:p>
        </w:tc>
      </w:tr>
    </w:tbl>
    <w:p w:rsidR="00D25149" w:rsidRPr="00D25149" w:rsidRDefault="00D25149" w:rsidP="00D25149">
      <w:pPr>
        <w:tabs>
          <w:tab w:val="left" w:pos="720"/>
        </w:tabs>
        <w:jc w:val="left"/>
        <w:rPr>
          <w:rFonts w:ascii="Times New Roman" w:hAnsi="Times New Roman"/>
          <w:spacing w:val="-2"/>
          <w:sz w:val="21"/>
          <w:szCs w:val="21"/>
          <w:lang w:val="fr-FR" w:eastAsia="zh-CN"/>
        </w:rPr>
      </w:pPr>
    </w:p>
    <w:p w:rsidR="00D25149" w:rsidRPr="00D25149" w:rsidRDefault="00D25149" w:rsidP="00D25149">
      <w:pPr>
        <w:tabs>
          <w:tab w:val="left" w:pos="720"/>
        </w:tabs>
        <w:rPr>
          <w:rFonts w:ascii="Times New Roman" w:hAnsi="Times New Roman"/>
          <w:sz w:val="22"/>
          <w:szCs w:val="20"/>
          <w:lang w:val="fr-FR" w:eastAsia="zh-CN"/>
        </w:rPr>
      </w:pPr>
    </w:p>
    <w:p w:rsidR="00A16CCD" w:rsidRPr="00D25149" w:rsidRDefault="00A16CCD" w:rsidP="00D25149">
      <w:pPr>
        <w:rPr>
          <w:lang w:val="fr-FR" w:eastAsia="zh-CN"/>
        </w:rPr>
      </w:pPr>
    </w:p>
    <w:sectPr w:rsidR="00A16CCD" w:rsidRPr="00D25149"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951" w:rsidRDefault="009C2951" w:rsidP="00A16CCD">
      <w:r>
        <w:separator/>
      </w:r>
    </w:p>
  </w:endnote>
  <w:endnote w:type="continuationSeparator" w:id="0">
    <w:p w:rsidR="009C2951" w:rsidRDefault="009C2951"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951" w:rsidRDefault="009C2951" w:rsidP="00A16CCD">
      <w:r>
        <w:separator/>
      </w:r>
    </w:p>
  </w:footnote>
  <w:footnote w:type="continuationSeparator" w:id="0">
    <w:p w:rsidR="009C2951" w:rsidRDefault="009C2951"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8427E71"/>
    <w:multiLevelType w:val="hybridMultilevel"/>
    <w:tmpl w:val="25209B3E"/>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2"/>
  </w:num>
  <w:num w:numId="20">
    <w:abstractNumId w:val="15"/>
  </w:num>
  <w:num w:numId="21">
    <w:abstractNumId w:val="31"/>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5728"/>
    <w:rsid w:val="0034641D"/>
    <w:rsid w:val="003813B9"/>
    <w:rsid w:val="00386031"/>
    <w:rsid w:val="00394052"/>
    <w:rsid w:val="003A178D"/>
    <w:rsid w:val="00457103"/>
    <w:rsid w:val="00462370"/>
    <w:rsid w:val="00463C3F"/>
    <w:rsid w:val="00463FD9"/>
    <w:rsid w:val="00470572"/>
    <w:rsid w:val="004B6514"/>
    <w:rsid w:val="004C7E7B"/>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C2951"/>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3705"/>
    <w:rsid w:val="00CC760F"/>
    <w:rsid w:val="00CD2790"/>
    <w:rsid w:val="00CF0341"/>
    <w:rsid w:val="00CF200D"/>
    <w:rsid w:val="00CF30D3"/>
    <w:rsid w:val="00D03128"/>
    <w:rsid w:val="00D10AF1"/>
    <w:rsid w:val="00D25149"/>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3347F"/>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mbers.wto.org/crnattachments/2015/SPS/CRI/15_2072_00_s.pdf" TargetMode="External"/><Relationship Id="rId4" Type="http://schemas.openxmlformats.org/officeDocument/2006/relationships/settings" Target="settings.xml"/><Relationship Id="rId9" Type="http://schemas.openxmlformats.org/officeDocument/2006/relationships/hyperlink" Target="http://members.wto.org/crnattachments/2015/SPS/CRI/15_1366_00_s.pdf"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2977</Characters>
  <Application>Microsoft Office Word</Application>
  <DocSecurity>0</DocSecurity>
  <Lines>24</Lines>
  <Paragraphs>6</Paragraphs>
  <ScaleCrop>false</ScaleCrop>
  <LinksUpToDate>false</LinksUpToDate>
  <CharactersWithSpaces>3493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2015-06-12T04:15:00Z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