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1E5DCB" w:rsidTr="001E5DCB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5DCB" w:rsidRDefault="001E5DCB">
            <w:pPr>
              <w:rPr>
                <w:rFonts w:eastAsiaTheme="minorEastAsia"/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DCB" w:rsidRDefault="001E5DCB">
            <w:pPr>
              <w:jc w:val="right"/>
              <w:rPr>
                <w:rFonts w:eastAsiaTheme="minorEastAsia"/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1E5DCB" w:rsidTr="001E5DCB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hideMark/>
          </w:tcPr>
          <w:p w:rsidR="001E5DCB" w:rsidRDefault="001E5DCB">
            <w:pPr>
              <w:jc w:val="left"/>
              <w:rPr>
                <w:rFonts w:eastAsiaTheme="minorEastAsia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05D48158" wp14:editId="4472C936">
                  <wp:extent cx="2402205" cy="71628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DCB" w:rsidRDefault="001E5DCB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1E5DCB" w:rsidTr="001E5DCB">
        <w:trPr>
          <w:trHeight w:val="868"/>
          <w:jc w:val="center"/>
        </w:trPr>
        <w:tc>
          <w:tcPr>
            <w:tcW w:w="3794" w:type="dxa"/>
            <w:vMerge/>
            <w:vAlign w:val="center"/>
            <w:hideMark/>
          </w:tcPr>
          <w:p w:rsidR="001E5DCB" w:rsidRDefault="001E5DCB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5DCB" w:rsidRDefault="001E5DCB">
            <w:pPr>
              <w:jc w:val="right"/>
              <w:rPr>
                <w:rFonts w:eastAsiaTheme="minorEastAsia"/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G/SPS/N/BRA/1037</w:t>
            </w:r>
            <w:bookmarkEnd w:id="1"/>
          </w:p>
          <w:p w:rsidR="001E5DCB" w:rsidRDefault="001E5DCB">
            <w:pPr>
              <w:jc w:val="right"/>
              <w:rPr>
                <w:rFonts w:eastAsiaTheme="minorEastAsia"/>
                <w:b/>
                <w:szCs w:val="16"/>
              </w:rPr>
            </w:pPr>
          </w:p>
        </w:tc>
      </w:tr>
      <w:tr w:rsidR="001E5DCB" w:rsidTr="001E5DCB">
        <w:trPr>
          <w:trHeight w:val="240"/>
          <w:jc w:val="center"/>
        </w:trPr>
        <w:tc>
          <w:tcPr>
            <w:tcW w:w="3794" w:type="dxa"/>
            <w:vMerge/>
            <w:vAlign w:val="center"/>
            <w:hideMark/>
          </w:tcPr>
          <w:p w:rsidR="001E5DCB" w:rsidRDefault="001E5DCB">
            <w:pPr>
              <w:jc w:val="left"/>
              <w:rPr>
                <w:rFonts w:eastAsiaTheme="minorEastAsia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5DCB" w:rsidRDefault="001E5DCB">
            <w:pPr>
              <w:jc w:val="right"/>
              <w:rPr>
                <w:rFonts w:eastAsiaTheme="minorEastAsia"/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 xml:space="preserve">12 May 2015  </w:t>
            </w:r>
            <w:bookmarkEnd w:id="2"/>
            <w:bookmarkEnd w:id="3"/>
          </w:p>
        </w:tc>
      </w:tr>
      <w:tr w:rsidR="001E5DCB" w:rsidTr="001E5DCB">
        <w:trPr>
          <w:trHeight w:val="412"/>
          <w:jc w:val="center"/>
        </w:trPr>
        <w:tc>
          <w:tcPr>
            <w:tcW w:w="5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1E5DCB" w:rsidRDefault="001E5DCB">
            <w:pPr>
              <w:jc w:val="left"/>
              <w:rPr>
                <w:rFonts w:eastAsiaTheme="minorEastAsia"/>
                <w:b/>
              </w:rPr>
            </w:pPr>
            <w:bookmarkStart w:id="4" w:name="bmkSerial"/>
            <w:r>
              <w:rPr>
                <w:color w:val="FF0000"/>
                <w:szCs w:val="16"/>
              </w:rPr>
              <w:t>(15-2517)</w:t>
            </w:r>
            <w:bookmarkEnd w:id="4"/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:rsidR="001E5DCB" w:rsidRDefault="001E5DCB">
            <w:pPr>
              <w:jc w:val="right"/>
              <w:rPr>
                <w:rFonts w:eastAsiaTheme="minorEastAsia"/>
                <w:szCs w:val="16"/>
              </w:rPr>
            </w:pPr>
            <w:bookmarkStart w:id="5" w:name="bmkTotPages"/>
            <w:r>
              <w:rPr>
                <w:bCs/>
                <w:szCs w:val="16"/>
              </w:rPr>
              <w:t xml:space="preserve">Page: 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PAGE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>
              <w:fldChar w:fldCharType="end"/>
            </w:r>
            <w:r>
              <w:rPr>
                <w:bCs/>
                <w:szCs w:val="16"/>
              </w:rPr>
              <w:t>/</w:t>
            </w:r>
            <w:r>
              <w:fldChar w:fldCharType="begin"/>
            </w:r>
            <w:r>
              <w:rPr>
                <w:bCs/>
                <w:szCs w:val="16"/>
              </w:rPr>
              <w:instrText xml:space="preserve"> NUMPAGES  \* Arabic  \* MERGEFORMAT </w:instrText>
            </w:r>
            <w:r>
              <w:fldChar w:fldCharType="separate"/>
            </w:r>
            <w:r>
              <w:rPr>
                <w:bCs/>
                <w:noProof/>
                <w:szCs w:val="16"/>
              </w:rPr>
              <w:t>3</w:t>
            </w:r>
            <w:r>
              <w:fldChar w:fldCharType="end"/>
            </w:r>
            <w:bookmarkEnd w:id="5"/>
          </w:p>
        </w:tc>
      </w:tr>
      <w:tr w:rsidR="001E5DCB" w:rsidTr="001E5DCB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1E5DCB" w:rsidRDefault="001E5DCB">
            <w:pPr>
              <w:jc w:val="left"/>
              <w:rPr>
                <w:rFonts w:eastAsiaTheme="minorEastAsia"/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1E5DCB" w:rsidRDefault="001E5DCB">
            <w:pPr>
              <w:jc w:val="right"/>
              <w:rPr>
                <w:rFonts w:eastAsiaTheme="minorEastAsia"/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1E5DCB" w:rsidRDefault="001E5DCB" w:rsidP="001E5DCB">
      <w:pPr>
        <w:pStyle w:val="a6"/>
      </w:pPr>
      <w:r>
        <w:t>NOTIFICATION</w:t>
      </w:r>
    </w:p>
    <w:tbl>
      <w:tblPr>
        <w:tblW w:w="903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8323"/>
      </w:tblGrid>
      <w:tr w:rsidR="001E5DCB" w:rsidTr="001E5DCB">
        <w:trPr>
          <w:jc w:val="center"/>
        </w:trPr>
        <w:tc>
          <w:tcPr>
            <w:tcW w:w="70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E5DCB" w:rsidRDefault="001E5DC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1.</w:t>
            </w:r>
          </w:p>
        </w:tc>
        <w:tc>
          <w:tcPr>
            <w:tcW w:w="83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E5DCB" w:rsidRDefault="001E5DC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Notifying Member: </w:t>
            </w:r>
            <w:bookmarkStart w:id="8" w:name="sps1a"/>
            <w:r>
              <w:rPr>
                <w:caps/>
                <w:u w:val="single"/>
              </w:rPr>
              <w:t>Brazil</w:t>
            </w:r>
            <w:bookmarkEnd w:id="8"/>
            <w:r>
              <w:fldChar w:fldCharType="begin"/>
            </w:r>
            <w:r>
              <w:instrText xml:space="preserve"> SET MemberNotifying "" </w:instrText>
            </w:r>
            <w:r>
              <w:fldChar w:fldCharType="separate"/>
            </w:r>
            <w:r>
              <w:rPr>
                <w:noProof/>
              </w:rPr>
              <w:t xml:space="preserve"> </w:t>
            </w:r>
            <w:r>
              <w:fldChar w:fldCharType="end"/>
            </w:r>
          </w:p>
          <w:p w:rsidR="001E5DCB" w:rsidRDefault="001E5DCB">
            <w:pPr>
              <w:spacing w:after="120"/>
              <w:rPr>
                <w:rFonts w:eastAsiaTheme="minorEastAsia"/>
              </w:rPr>
            </w:pPr>
            <w:r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>
              <w:rPr>
                <w:bCs/>
              </w:rPr>
              <w:t xml:space="preserve"> </w:t>
            </w:r>
            <w:bookmarkEnd w:id="9"/>
          </w:p>
        </w:tc>
      </w:tr>
      <w:tr w:rsidR="001E5DCB" w:rsidTr="001E5DC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E5DCB" w:rsidRDefault="001E5DC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E5DCB" w:rsidRDefault="001E5DC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Agency responsible: </w:t>
            </w:r>
            <w:bookmarkStart w:id="10" w:name="sps2a"/>
            <w:r>
              <w:t>ANVISA - The Brazilian Health Surveillance Agency</w:t>
            </w:r>
            <w:bookmarkEnd w:id="10"/>
          </w:p>
        </w:tc>
      </w:tr>
      <w:tr w:rsidR="001E5DCB" w:rsidTr="001E5DC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E5DCB" w:rsidRDefault="001E5DC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E5DCB" w:rsidRDefault="001E5DC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>
              <w:t xml:space="preserve">Foliar application in cultures of pumpkin (0.3mg/kg safety security period of 1 day), zucchini (0.3mg/kg safety security period of 1 day), on cotton leaves (0.2mg/kg safety security period of 14 days), rice (0.2mg/kg safety security period of 15 days), oat (0.3mg/kg safety security period of 10 days), potato (0.01mg/kg safety security period of 1 day), broccoli (0.7mg/kg safety security period of 1 day), coffee (0.03mg/kg safety security period of 21 days), sugarcane (0.2mg/kg safety security period of 60 days), barley (0.4mg/kg safety security period of 10 days), chayote (0.3mg/kg safety security period of 1 day), citrus (0.2mg/kg safety security period of 5 days), kale (0.7mg/kg safety security period of 1 day), Chinese cabbage (0.7mg/kg safety security period of 1 day), Brussels sprouts (0.7mg/kg safety security period of 1 day), cauliflower (0.7mg/kg safety security period of 1 day), bean (0.05mg/kg safety security period of 7 days), sunflower (0.02mg/kg safety security period of 21 days), apple (0.1mg/kg safety security period of 14 days), West Indian gherkin (0.3mg/kg safety security period of 1 day), melon (0.2mg/kg safety security period of 7 days), watermelon (0.2mg/kg safety security period of 7 days), corn (0.07mg/kg safety security period of 14 days), cucumber (0.3mg/kg safety security period of 1 day), peach (0.1mg/kg safety security period of 14 days), cabbage (0.7mg/kg safety security period of 1 day), soy (0.2mg/kg safety security period of 21 days), tomato (0.3mg/kg safety security period of 1 day), wheat (0.1mg/kg safety security period of 10 days), grape (0.1mg/kg safety security period of 7 days). Soil application in cultures of cotton (0.2mg/kg safety security period not determined due to the mode of use), coffee (0.03mg/kg safety security period of 35 days), sugarcane (0.2mg/kg safety security period not determined due to the mode of use), citrus (0.2mg/kg safety security period of 14 days), corn (0.07mg/kg safety security period not determined due to the mode of use), soy (0.2mg/kg safety security period not determined due to the mode of use). Seeds application in cultures of corn (0.07mg/kg safety security period not determined due to the mode of use), soy (0.2mg/kg safety security period not determined due to the mode of use) </w:t>
            </w:r>
            <w:bookmarkEnd w:id="11"/>
          </w:p>
        </w:tc>
      </w:tr>
      <w:tr w:rsidR="001E5DCB" w:rsidTr="001E5DC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E5DCB" w:rsidRDefault="001E5DCB">
            <w:pPr>
              <w:spacing w:before="120" w:after="120"/>
              <w:jc w:val="left"/>
              <w:rPr>
                <w:rFonts w:eastAsiaTheme="minorEastAsia"/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E5DCB" w:rsidRDefault="001E5DCB">
            <w:pPr>
              <w:spacing w:before="120" w:after="120"/>
              <w:rPr>
                <w:rFonts w:eastAsiaTheme="minorEastAsia"/>
                <w:b/>
                <w:bCs/>
                <w:sz w:val="15"/>
                <w:szCs w:val="15"/>
              </w:rPr>
            </w:pPr>
            <w:r>
              <w:rPr>
                <w:b/>
              </w:rPr>
              <w:t>Regions or countries likely to be affected, to the extent relevant or practicable</w:t>
            </w:r>
            <w:r>
              <w:rPr>
                <w:b/>
                <w:bCs/>
                <w:sz w:val="15"/>
                <w:szCs w:val="15"/>
              </w:rPr>
              <w:t>:</w:t>
            </w:r>
          </w:p>
          <w:p w:rsidR="001E5DCB" w:rsidRDefault="001E5DCB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12" w:name="sps4b"/>
            <w:r>
              <w:rPr>
                <w:b/>
              </w:rPr>
              <w:t>X</w:t>
            </w:r>
            <w:bookmarkEnd w:id="12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All trading partners </w:t>
            </w:r>
            <w:bookmarkStart w:id="13" w:name="sps4bbis"/>
            <w:r>
              <w:t xml:space="preserve"> </w:t>
            </w:r>
            <w:bookmarkEnd w:id="13"/>
          </w:p>
          <w:p w:rsidR="001E5DCB" w:rsidRDefault="001E5DCB">
            <w:pPr>
              <w:spacing w:after="120"/>
              <w:ind w:left="607" w:hanging="607"/>
              <w:rPr>
                <w:rFonts w:eastAsiaTheme="minorEastAsia"/>
                <w:b/>
              </w:rPr>
            </w:pPr>
            <w:r>
              <w:rPr>
                <w:b/>
                <w:bCs/>
              </w:rPr>
              <w:t>[</w:t>
            </w:r>
            <w:bookmarkStart w:id="14" w:name="sps4abis"/>
            <w:r>
              <w:rPr>
                <w:b/>
                <w:bCs/>
              </w:rPr>
              <w:t xml:space="preserve"> </w:t>
            </w:r>
            <w:bookmarkEnd w:id="14"/>
            <w:r>
              <w:rPr>
                <w:b/>
                <w:bCs/>
              </w:rPr>
              <w:t>]</w:t>
            </w:r>
            <w:r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>
              <w:rPr>
                <w:bCs/>
              </w:rPr>
              <w:t xml:space="preserve"> </w:t>
            </w:r>
            <w:bookmarkEnd w:id="15"/>
          </w:p>
        </w:tc>
      </w:tr>
      <w:tr w:rsidR="001E5DCB" w:rsidTr="001E5DC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E5DCB" w:rsidRDefault="001E5DC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E5DCB" w:rsidRDefault="001E5DC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Title of the notified document: </w:t>
            </w:r>
            <w:bookmarkStart w:id="16" w:name="sps5a"/>
            <w:r>
              <w:rPr>
                <w:bCs/>
              </w:rPr>
              <w:t xml:space="preserve">Draft resolution regarding the active ingredient C70 </w:t>
            </w:r>
            <w:r>
              <w:rPr>
                <w:bCs/>
              </w:rPr>
              <w:lastRenderedPageBreak/>
              <w:t xml:space="preserve">CHLORANTRANILIPROLE of the monograph list of active ingredients for pesticides, household cleaning products and wood preservers, published by Resolution - RE no. 165 of 29 August 2003, Brazilian Official Gazette (DOU </w:t>
            </w:r>
            <w:proofErr w:type="spellStart"/>
            <w:r>
              <w:rPr>
                <w:bCs/>
              </w:rPr>
              <w:t>Diário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Oficial</w:t>
            </w:r>
            <w:proofErr w:type="spellEnd"/>
            <w:r>
              <w:rPr>
                <w:bCs/>
              </w:rPr>
              <w:t xml:space="preserve"> da </w:t>
            </w:r>
            <w:proofErr w:type="spellStart"/>
            <w:r>
              <w:rPr>
                <w:bCs/>
              </w:rPr>
              <w:t>União</w:t>
            </w:r>
            <w:proofErr w:type="spellEnd"/>
            <w:r>
              <w:rPr>
                <w:bCs/>
              </w:rPr>
              <w:t>) of 2 September 2003</w:t>
            </w:r>
          </w:p>
          <w:p w:rsidR="001E5DCB" w:rsidRDefault="001E5DCB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Inclusion of cultures of grape (0.1mg/kg safety security period of 7 days), in foliar application, and inclusion of the cultures of corn (0.07mg/kg safety security period not determined due to the mode of use) and soy (0.2mg/kg safety security period not determined due to the mode of use), in seeds application </w:t>
            </w:r>
            <w:bookmarkEnd w:id="16"/>
            <w:r>
              <w:t xml:space="preserve"> </w:t>
            </w:r>
            <w:r>
              <w:rPr>
                <w:b/>
              </w:rPr>
              <w:t xml:space="preserve"> Language(s): </w:t>
            </w:r>
            <w:bookmarkStart w:id="17" w:name="sps5b"/>
            <w:r>
              <w:rPr>
                <w:bCs/>
              </w:rPr>
              <w:t>Portuguese</w:t>
            </w:r>
            <w:bookmarkEnd w:id="17"/>
            <w:r>
              <w:t xml:space="preserve">  </w:t>
            </w:r>
            <w:r>
              <w:rPr>
                <w:b/>
              </w:rPr>
              <w:t xml:space="preserve">Number of pages: </w:t>
            </w:r>
            <w:bookmarkStart w:id="18" w:name="sps5c"/>
            <w:r>
              <w:t>3</w:t>
            </w:r>
            <w:bookmarkEnd w:id="18"/>
          </w:p>
          <w:bookmarkStart w:id="19" w:name="sps5d"/>
          <w:p w:rsidR="001E5DCB" w:rsidRDefault="001E5DCB">
            <w:pPr>
              <w:pStyle w:val="ab"/>
              <w:tabs>
                <w:tab w:val="left" w:pos="420"/>
              </w:tabs>
              <w:spacing w:after="120"/>
            </w:pPr>
            <w:r>
              <w:fldChar w:fldCharType="begin"/>
            </w:r>
            <w:r>
              <w:instrText xml:space="preserve"> HYPERLINK "http://portal.anvisa.gov.br/wps/wcm/connect/0a3b8f80484c962da18fa5bdc15bfe28/Consulta+P%C3%BAblica+n%C2%B0+37+GGTOX+atual.pdf?MOD=AJPERES" </w:instrText>
            </w:r>
            <w:r>
              <w:fldChar w:fldCharType="separate"/>
            </w:r>
            <w:r>
              <w:rPr>
                <w:rStyle w:val="af3"/>
              </w:rPr>
              <w:t>http://portal.anvisa.gov.br/wps/wcm/connect/0a3b8f80484c962da18fa5bdc15bfe28/Consulta+P%C3%BAblica+n%C2%B0+37+GGTOX+atual.pdf?MOD=AJPERES</w:t>
            </w:r>
            <w:bookmarkEnd w:id="19"/>
            <w:r>
              <w:fldChar w:fldCharType="end"/>
            </w:r>
          </w:p>
        </w:tc>
      </w:tr>
      <w:tr w:rsidR="001E5DCB" w:rsidTr="001E5DC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E5DCB" w:rsidRDefault="001E5DC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E5DCB" w:rsidRDefault="001E5DC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Description of content: </w:t>
            </w:r>
            <w:bookmarkStart w:id="20" w:name="sps6a"/>
            <w:r>
              <w:t xml:space="preserve">Foliar application in cultures of pumpkin (0.3mg/kg safety security period of 1 day), zucchini (0.3mg/kg safety security period of 1 day), on cotton leaves (0.2mg/kg safety security period of 14 days), rice (0.2mg/kg safety security period of 15 days), oat (0.3mg/kg safety security period of 10 days), potato (0.01mg/kg safety security period of 1 day), broccoli (0.7mg/kg safety security period of 1 day), coffee (0.03mg/kg safety security period of 21 days), sugarcane (0.2mg/kg safety security period of 60 days), barley (0.4mg/kg safety security period of 10 days), chayote (0.3mg/kg safety security period of 1 day), citrus (0.2mg/kg safety security period of 5 days), kale (0.7mg/kg safety security period of 1 day), Chinese cabbage (0.7mg/kg safety security period of 1 day), Brussels sprouts (0.7mg/kg safety security period of 1 day), cauliflower (0.7mg/kg safety security period of 1 day), bean (0.05mg/kg safety security period of 7 days), sunflower (0.02mg/kg safety security period of 21 days), apple (0.1mg/kg safety security period of 14 days), West Indian gherkin (0.3mg/kg safety security period of 1 day), melon (0.2mg/kg safety security period of 7 days), watermelon (0.2mg/kg safety security period of 7 days), corn (0.07mg/kg safety security period of 14 days), cucumber (0.3mg/kg safety security period of 1 day), peach (0.1mg/kg safety security period of 14 days), cabbage (0.7mg/kg safety security period of 1 day), soy (0.2mg/kg safety security period of 21 days), tomato (0.3mg/kg safety security period of 1 day), wheat (0.1mg/kg safety security period of 10 days), grape (0.1mg/kg safety security period of 7 days). Soil application in cultures of cotton (0.2mg/kg safety security period not determined due to the mode of use), coffee (0.03mg/kg safety security period of 35 days), sugarcane (0.2mg/kg safety security period not determined due to the mode of use), citrus (0.2mg/kg safety security period of 14 days), corn (0.07mg/kg safety security period not determined due to the mode of use), soy (0.2mg/kg safety security period not determined due to the mode of use). Seeds application in cultures of corn (0.07mg/kg safety security period not determined due to the mode of use), soy (0.2mg/kg safety security period not determined due to the mode of use). </w:t>
            </w:r>
            <w:bookmarkEnd w:id="20"/>
          </w:p>
        </w:tc>
      </w:tr>
      <w:tr w:rsidR="001E5DCB" w:rsidTr="001E5DC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E5DCB" w:rsidRDefault="001E5DC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E5DCB" w:rsidRDefault="001E5DC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Objective and rationale: [</w:t>
            </w:r>
            <w:bookmarkStart w:id="21" w:name="sps7a"/>
            <w:r>
              <w:rPr>
                <w:b/>
              </w:rPr>
              <w:t>X</w:t>
            </w:r>
            <w:bookmarkEnd w:id="21"/>
            <w:r>
              <w:rPr>
                <w:b/>
              </w:rPr>
              <w:t>] food safety, [</w:t>
            </w:r>
            <w:bookmarkStart w:id="22" w:name="sps7b"/>
            <w:r>
              <w:rPr>
                <w:b/>
              </w:rPr>
              <w:t xml:space="preserve"> </w:t>
            </w:r>
            <w:bookmarkEnd w:id="22"/>
            <w:r>
              <w:rPr>
                <w:b/>
              </w:rPr>
              <w:t>] animal health, [</w:t>
            </w:r>
            <w:bookmarkStart w:id="23" w:name="sps7c"/>
            <w:r>
              <w:rPr>
                <w:b/>
              </w:rPr>
              <w:t xml:space="preserve"> </w:t>
            </w:r>
            <w:bookmarkEnd w:id="23"/>
            <w:r>
              <w:rPr>
                <w:b/>
              </w:rPr>
              <w:t>] plant protection, [</w:t>
            </w:r>
            <w:bookmarkStart w:id="24" w:name="sps7d"/>
            <w:r>
              <w:rPr>
                <w:b/>
              </w:rPr>
              <w:t xml:space="preserve"> </w:t>
            </w:r>
            <w:bookmarkEnd w:id="24"/>
            <w:r>
              <w:rPr>
                <w:b/>
              </w:rPr>
              <w:t>] protect humans from animal/plant pest or disease, [</w:t>
            </w:r>
            <w:bookmarkStart w:id="25" w:name="sps7e"/>
            <w:r>
              <w:rPr>
                <w:b/>
              </w:rPr>
              <w:t xml:space="preserve"> </w:t>
            </w:r>
            <w:bookmarkEnd w:id="25"/>
            <w:r>
              <w:rPr>
                <w:b/>
              </w:rPr>
              <w:t xml:space="preserve">] protect territory from other damage from pests. </w:t>
            </w:r>
            <w:bookmarkStart w:id="26" w:name="sps7f"/>
            <w:r>
              <w:t xml:space="preserve"> </w:t>
            </w:r>
            <w:bookmarkEnd w:id="26"/>
          </w:p>
        </w:tc>
      </w:tr>
      <w:tr w:rsidR="001E5DCB" w:rsidTr="001E5DC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E5DCB" w:rsidRDefault="001E5DCB">
            <w:pPr>
              <w:spacing w:before="120" w:after="120"/>
              <w:jc w:val="left"/>
              <w:rPr>
                <w:rFonts w:eastAsiaTheme="minorEastAsia"/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E5DCB" w:rsidRDefault="001E5DC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Is there a relevant international standard? If so, identify the standard:</w:t>
            </w:r>
          </w:p>
          <w:p w:rsidR="001E5DCB" w:rsidRDefault="001E5DCB">
            <w:pPr>
              <w:spacing w:after="120"/>
              <w:ind w:left="607" w:hanging="607"/>
            </w:pPr>
            <w:r>
              <w:rPr>
                <w:b/>
                <w:lang w:val="fr-FR"/>
              </w:rPr>
              <w:t>[</w:t>
            </w:r>
            <w:bookmarkStart w:id="27" w:name="sps8a"/>
            <w:r>
              <w:rPr>
                <w:b/>
                <w:lang w:val="fr-FR"/>
              </w:rPr>
              <w:t xml:space="preserve"> </w:t>
            </w:r>
            <w:bookmarkEnd w:id="27"/>
            <w:r>
              <w:rPr>
                <w:b/>
                <w:lang w:val="fr-FR"/>
              </w:rPr>
              <w:t>]</w:t>
            </w:r>
            <w:r>
              <w:rPr>
                <w:b/>
                <w:lang w:val="fr-FR"/>
              </w:rPr>
              <w:tab/>
              <w:t xml:space="preserve">Codex Alimentarius Commission </w:t>
            </w:r>
            <w:r>
              <w:rPr>
                <w:b/>
                <w:i/>
                <w:lang w:val="fr-FR"/>
              </w:rPr>
              <w:t xml:space="preserve">(e.g.  </w:t>
            </w:r>
            <w:r>
              <w:rPr>
                <w:b/>
                <w:i/>
                <w:sz w:val="15"/>
                <w:szCs w:val="15"/>
              </w:rPr>
              <w:t xml:space="preserve">title or serial number of Codex standard or related text) </w:t>
            </w:r>
            <w:bookmarkStart w:id="28" w:name="sps8atext"/>
            <w:r>
              <w:t xml:space="preserve"> </w:t>
            </w:r>
            <w:bookmarkEnd w:id="28"/>
          </w:p>
          <w:p w:rsidR="001E5DCB" w:rsidRDefault="001E5DCB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29" w:name="sps8b"/>
            <w:r>
              <w:rPr>
                <w:b/>
              </w:rPr>
              <w:t xml:space="preserve"> </w:t>
            </w:r>
            <w:bookmarkEnd w:id="29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World Organization for Animal Health (OIE) </w:t>
            </w:r>
            <w:r>
              <w:rPr>
                <w:b/>
                <w:i/>
              </w:rPr>
              <w:t>(e.g. Terrestrial or Aquatic Animal Health Code, chapter number)</w:t>
            </w:r>
            <w:r>
              <w:rPr>
                <w:b/>
              </w:rPr>
              <w:t xml:space="preserve"> </w:t>
            </w:r>
            <w:bookmarkStart w:id="30" w:name="sps8btext"/>
            <w:r>
              <w:t xml:space="preserve"> </w:t>
            </w:r>
            <w:bookmarkEnd w:id="30"/>
          </w:p>
          <w:p w:rsidR="001E5DCB" w:rsidRDefault="001E5DCB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1" w:name="sps8c"/>
            <w:r>
              <w:rPr>
                <w:b/>
              </w:rPr>
              <w:t xml:space="preserve"> </w:t>
            </w:r>
            <w:bookmarkEnd w:id="31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International Plant Protection Convention </w:t>
            </w:r>
            <w:r>
              <w:rPr>
                <w:b/>
                <w:i/>
              </w:rPr>
              <w:t>(e.g. ISPM number)</w:t>
            </w:r>
            <w:r>
              <w:rPr>
                <w:b/>
              </w:rPr>
              <w:t xml:space="preserve"> </w:t>
            </w:r>
            <w:bookmarkStart w:id="32" w:name="sps8ctext"/>
            <w:r>
              <w:t xml:space="preserve"> </w:t>
            </w:r>
            <w:bookmarkEnd w:id="32"/>
          </w:p>
          <w:p w:rsidR="001E5DCB" w:rsidRDefault="001E5DCB">
            <w:pPr>
              <w:spacing w:after="120"/>
              <w:ind w:left="607" w:hanging="607"/>
              <w:rPr>
                <w:b/>
              </w:rPr>
            </w:pPr>
            <w:r>
              <w:rPr>
                <w:b/>
              </w:rPr>
              <w:t>[</w:t>
            </w:r>
            <w:bookmarkStart w:id="33" w:name="sps8d"/>
            <w:r>
              <w:rPr>
                <w:b/>
              </w:rPr>
              <w:t>X</w:t>
            </w:r>
            <w:bookmarkEnd w:id="33"/>
            <w:r>
              <w:rPr>
                <w:b/>
              </w:rPr>
              <w:t>]</w:t>
            </w:r>
            <w:r>
              <w:rPr>
                <w:b/>
              </w:rPr>
              <w:tab/>
              <w:t>None</w:t>
            </w:r>
          </w:p>
          <w:p w:rsidR="001E5DCB" w:rsidRDefault="001E5DCB">
            <w:pPr>
              <w:ind w:left="720" w:hanging="720"/>
              <w:rPr>
                <w:b/>
              </w:rPr>
            </w:pPr>
            <w:r>
              <w:rPr>
                <w:b/>
              </w:rPr>
              <w:t xml:space="preserve">Does this proposed regulation conform to the relevant international standard?  </w:t>
            </w:r>
          </w:p>
          <w:p w:rsidR="001E5DCB" w:rsidRDefault="001E5DCB">
            <w:pPr>
              <w:spacing w:after="120"/>
              <w:ind w:firstLine="607"/>
              <w:rPr>
                <w:b/>
              </w:rPr>
            </w:pPr>
            <w:r>
              <w:rPr>
                <w:b/>
              </w:rPr>
              <w:t>[</w:t>
            </w:r>
            <w:bookmarkStart w:id="34" w:name="sps8ey"/>
            <w:r>
              <w:rPr>
                <w:b/>
              </w:rPr>
              <w:t xml:space="preserve"> </w:t>
            </w:r>
            <w:bookmarkEnd w:id="34"/>
            <w:r>
              <w:rPr>
                <w:b/>
              </w:rPr>
              <w:t>] Yes   [</w:t>
            </w:r>
            <w:bookmarkStart w:id="35" w:name="sps8en"/>
            <w:r>
              <w:rPr>
                <w:b/>
              </w:rPr>
              <w:t xml:space="preserve"> </w:t>
            </w:r>
            <w:bookmarkEnd w:id="35"/>
            <w:r>
              <w:rPr>
                <w:b/>
              </w:rPr>
              <w:t>] No</w:t>
            </w:r>
          </w:p>
          <w:p w:rsidR="001E5DCB" w:rsidRDefault="001E5DCB">
            <w:pPr>
              <w:spacing w:after="120"/>
              <w:ind w:firstLine="607"/>
              <w:rPr>
                <w:rFonts w:eastAsiaTheme="minorEastAsia"/>
              </w:rPr>
            </w:pPr>
            <w:r>
              <w:rPr>
                <w:b/>
              </w:rPr>
              <w:t xml:space="preserve">If no, describe, whenever possible, how and why it deviates from the </w:t>
            </w:r>
            <w:r>
              <w:rPr>
                <w:b/>
              </w:rPr>
              <w:lastRenderedPageBreak/>
              <w:t xml:space="preserve">international standard: </w:t>
            </w:r>
            <w:bookmarkStart w:id="36" w:name="sps8e"/>
            <w:r>
              <w:t xml:space="preserve"> </w:t>
            </w:r>
            <w:bookmarkEnd w:id="36"/>
          </w:p>
        </w:tc>
      </w:tr>
      <w:tr w:rsidR="001E5DCB" w:rsidTr="001E5DC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E5DCB" w:rsidRDefault="001E5DC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E5DCB" w:rsidRDefault="001E5DC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Other relevant documents and language(s) in which these are available: </w:t>
            </w:r>
            <w:bookmarkStart w:id="37" w:name="sps9a"/>
            <w:r>
              <w:t>The Brazilian Official Journal (</w:t>
            </w:r>
            <w:proofErr w:type="spellStart"/>
            <w:r>
              <w:t>Diário</w:t>
            </w:r>
            <w:proofErr w:type="spellEnd"/>
            <w:r>
              <w:t xml:space="preserve"> </w:t>
            </w:r>
            <w:proofErr w:type="spellStart"/>
            <w:r>
              <w:t>Oficial</w:t>
            </w:r>
            <w:proofErr w:type="spellEnd"/>
            <w:r>
              <w:t xml:space="preserve"> da </w:t>
            </w:r>
            <w:proofErr w:type="spellStart"/>
            <w:r>
              <w:t>União</w:t>
            </w:r>
            <w:proofErr w:type="spellEnd"/>
            <w:r>
              <w:t>), 8 May 2015, 86</w:t>
            </w:r>
            <w:r>
              <w:rPr>
                <w:vertAlign w:val="superscript"/>
              </w:rPr>
              <w:t>th</w:t>
            </w:r>
            <w:r>
              <w:t xml:space="preserve"> edition, Section 1, p. 54. Draft Resolution (</w:t>
            </w:r>
            <w:proofErr w:type="spellStart"/>
            <w:r>
              <w:t>Consulta</w:t>
            </w:r>
            <w:proofErr w:type="spellEnd"/>
            <w:r>
              <w:t xml:space="preserve"> </w:t>
            </w:r>
            <w:proofErr w:type="spellStart"/>
            <w:r>
              <w:t>Pública</w:t>
            </w:r>
            <w:proofErr w:type="spellEnd"/>
            <w:r>
              <w:t>) number 37, 7 May 2015, issued by the Brazilian Health Surveillance Agency (ANVISA). When adopted, it will be published at the Brazilian Official Journal</w:t>
            </w:r>
            <w:bookmarkEnd w:id="37"/>
            <w:r>
              <w:rPr>
                <w:bCs/>
              </w:rPr>
              <w:t xml:space="preserve"> </w:t>
            </w:r>
            <w:bookmarkStart w:id="38" w:name="sps9b"/>
            <w:r>
              <w:rPr>
                <w:bCs/>
              </w:rPr>
              <w:t>(available in Portuguese)</w:t>
            </w:r>
            <w:bookmarkEnd w:id="38"/>
          </w:p>
        </w:tc>
      </w:tr>
      <w:tr w:rsidR="001E5DCB" w:rsidTr="001E5DC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E5DCB" w:rsidRDefault="001E5DC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E5DCB" w:rsidRDefault="001E5DC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 xml:space="preserve">Proposed date of adoption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39" w:name="sps10a"/>
            <w:r>
              <w:t>To be determined after the end of the consultation period.</w:t>
            </w:r>
            <w:bookmarkEnd w:id="39"/>
          </w:p>
          <w:p w:rsidR="001E5DCB" w:rsidRDefault="001E5DCB">
            <w:pPr>
              <w:spacing w:after="120"/>
              <w:rPr>
                <w:rFonts w:eastAsiaTheme="minorEastAsia"/>
              </w:rPr>
            </w:pPr>
            <w:r>
              <w:rPr>
                <w:b/>
              </w:rPr>
              <w:t xml:space="preserve">Proposed date of publication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0" w:name="sps10bisa"/>
            <w:r>
              <w:t>To be determined after the end of the consultation period.</w:t>
            </w:r>
            <w:bookmarkEnd w:id="40"/>
          </w:p>
        </w:tc>
      </w:tr>
      <w:tr w:rsidR="001E5DCB" w:rsidTr="001E5DC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E5DCB" w:rsidRDefault="001E5DC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E5DCB" w:rsidRDefault="001E5DC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Proposed date of entry into force: [</w:t>
            </w:r>
            <w:bookmarkStart w:id="41" w:name="sps11c"/>
            <w:r>
              <w:rPr>
                <w:b/>
              </w:rPr>
              <w:t xml:space="preserve"> </w:t>
            </w:r>
            <w:bookmarkEnd w:id="41"/>
            <w:r>
              <w:rPr>
                <w:b/>
              </w:rPr>
              <w:t>] Six months from date of publication</w:t>
            </w:r>
            <w:r>
              <w:t xml:space="preserve">, </w:t>
            </w:r>
            <w:r>
              <w:rPr>
                <w:b/>
              </w:rPr>
              <w:t>and/or</w:t>
            </w:r>
            <w:r>
              <w:t xml:space="preserve">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2" w:name="sps11a"/>
            <w:r>
              <w:t>To be determined after the end of the consultation period.</w:t>
            </w:r>
            <w:bookmarkEnd w:id="42"/>
          </w:p>
          <w:p w:rsidR="001E5DCB" w:rsidRDefault="001E5DCB">
            <w:pPr>
              <w:spacing w:after="120"/>
              <w:ind w:left="607" w:hanging="607"/>
              <w:rPr>
                <w:rFonts w:eastAsiaTheme="minorEastAsia"/>
                <w:b/>
              </w:rPr>
            </w:pPr>
            <w:r>
              <w:rPr>
                <w:b/>
              </w:rPr>
              <w:t>[</w:t>
            </w:r>
            <w:bookmarkStart w:id="43" w:name="sps11e"/>
            <w:r>
              <w:rPr>
                <w:b/>
              </w:rPr>
              <w:t xml:space="preserve"> </w:t>
            </w:r>
            <w:bookmarkEnd w:id="43"/>
            <w:r>
              <w:rPr>
                <w:b/>
              </w:rPr>
              <w:t>]</w:t>
            </w:r>
            <w:r>
              <w:rPr>
                <w:b/>
              </w:rPr>
              <w:tab/>
              <w:t xml:space="preserve">Trade facilitating measure </w:t>
            </w:r>
            <w:bookmarkStart w:id="44" w:name="sps11ebis"/>
            <w:r>
              <w:t xml:space="preserve"> </w:t>
            </w:r>
            <w:bookmarkEnd w:id="44"/>
          </w:p>
        </w:tc>
      </w:tr>
      <w:tr w:rsidR="001E5DCB" w:rsidTr="001E5DC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hideMark/>
          </w:tcPr>
          <w:p w:rsidR="001E5DCB" w:rsidRDefault="001E5DC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1E5DCB" w:rsidRDefault="001E5DCB">
            <w:pPr>
              <w:spacing w:before="120" w:after="120"/>
              <w:rPr>
                <w:rFonts w:eastAsiaTheme="minorEastAsia"/>
              </w:rPr>
            </w:pPr>
            <w:r>
              <w:rPr>
                <w:b/>
              </w:rPr>
              <w:t>Final date for comments: [</w:t>
            </w:r>
            <w:bookmarkStart w:id="45" w:name="sps12e"/>
            <w:r>
              <w:rPr>
                <w:b/>
              </w:rPr>
              <w:t xml:space="preserve"> </w:t>
            </w:r>
            <w:bookmarkEnd w:id="45"/>
            <w:r>
              <w:rPr>
                <w:b/>
              </w:rPr>
              <w:t xml:space="preserve">] Sixty days from the date of circulation of the notification and/or </w:t>
            </w:r>
            <w:r>
              <w:rPr>
                <w:b/>
                <w:i/>
              </w:rPr>
              <w:t>(</w:t>
            </w:r>
            <w:proofErr w:type="spellStart"/>
            <w:r>
              <w:rPr>
                <w:b/>
                <w:i/>
              </w:rPr>
              <w:t>dd</w:t>
            </w:r>
            <w:proofErr w:type="spellEnd"/>
            <w:r>
              <w:rPr>
                <w:b/>
                <w:i/>
              </w:rPr>
              <w:t>/mm/</w:t>
            </w:r>
            <w:proofErr w:type="spellStart"/>
            <w:r>
              <w:rPr>
                <w:b/>
                <w:i/>
              </w:rPr>
              <w:t>yy</w:t>
            </w:r>
            <w:proofErr w:type="spellEnd"/>
            <w:r>
              <w:rPr>
                <w:b/>
                <w:i/>
              </w:rPr>
              <w:t>)</w:t>
            </w:r>
            <w:r>
              <w:rPr>
                <w:b/>
              </w:rPr>
              <w:t xml:space="preserve">: </w:t>
            </w:r>
            <w:bookmarkStart w:id="46" w:name="sps12a"/>
            <w:r>
              <w:t>6 June 2015</w:t>
            </w:r>
            <w:bookmarkEnd w:id="46"/>
          </w:p>
          <w:p w:rsidR="001E5DCB" w:rsidRDefault="001E5DCB">
            <w:pPr>
              <w:spacing w:after="120"/>
              <w:rPr>
                <w:b/>
              </w:rPr>
            </w:pPr>
            <w:r>
              <w:rPr>
                <w:b/>
              </w:rPr>
              <w:t>Agency or authority designated to handle comments: [</w:t>
            </w:r>
            <w:bookmarkStart w:id="47" w:name="sps12b"/>
            <w:r>
              <w:rPr>
                <w:b/>
              </w:rPr>
              <w:t xml:space="preserve"> </w:t>
            </w:r>
            <w:bookmarkEnd w:id="47"/>
            <w:r>
              <w:rPr>
                <w:b/>
              </w:rPr>
              <w:t>] National Notification Authority, [</w:t>
            </w:r>
            <w:bookmarkStart w:id="48" w:name="sps12c"/>
            <w:r>
              <w:rPr>
                <w:b/>
              </w:rPr>
              <w:t>X</w:t>
            </w:r>
            <w:bookmarkEnd w:id="48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 xml:space="preserve">mail address (if available) of other body: </w:t>
            </w:r>
            <w:bookmarkStart w:id="49" w:name="sps12d"/>
          </w:p>
          <w:p w:rsidR="001E5DCB" w:rsidRDefault="001E5DCB">
            <w:pPr>
              <w:rPr>
                <w:lang w:val="es-ES"/>
              </w:rPr>
            </w:pPr>
            <w:r>
              <w:rPr>
                <w:lang w:val="es-ES"/>
              </w:rPr>
              <w:t>Patrícia Oliveira Pereira Tagliari</w:t>
            </w:r>
          </w:p>
          <w:p w:rsidR="001E5DCB" w:rsidRDefault="001E5DCB">
            <w:pPr>
              <w:rPr>
                <w:lang w:val="es-ES"/>
              </w:rPr>
            </w:pPr>
            <w:r>
              <w:rPr>
                <w:lang w:val="es-ES"/>
              </w:rPr>
              <w:t>Tel: +(55 61) 3462 5402/5404/5406</w:t>
            </w:r>
          </w:p>
          <w:p w:rsidR="001E5DCB" w:rsidRDefault="001E5DCB">
            <w:pPr>
              <w:spacing w:after="120"/>
              <w:rPr>
                <w:rFonts w:eastAsiaTheme="minorEastAsia"/>
                <w:lang w:val="es-ES"/>
              </w:rPr>
            </w:pPr>
            <w:r>
              <w:rPr>
                <w:lang w:val="es-ES"/>
              </w:rPr>
              <w:t>E-mail: rel@anvisa.gov.br</w:t>
            </w:r>
            <w:bookmarkEnd w:id="49"/>
          </w:p>
        </w:tc>
      </w:tr>
      <w:tr w:rsidR="001E5DCB" w:rsidTr="001E5DCB">
        <w:trPr>
          <w:jc w:val="center"/>
        </w:trPr>
        <w:tc>
          <w:tcPr>
            <w:tcW w:w="707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hideMark/>
          </w:tcPr>
          <w:p w:rsidR="001E5DCB" w:rsidRDefault="001E5DCB">
            <w:pPr>
              <w:spacing w:before="120" w:after="120"/>
              <w:jc w:val="left"/>
              <w:rPr>
                <w:rFonts w:eastAsiaTheme="minorEastAsia"/>
              </w:rPr>
            </w:pPr>
            <w:r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hideMark/>
          </w:tcPr>
          <w:p w:rsidR="001E5DCB" w:rsidRDefault="001E5DCB">
            <w:pPr>
              <w:spacing w:before="120" w:after="120"/>
              <w:rPr>
                <w:rFonts w:eastAsiaTheme="minorEastAsia"/>
                <w:bCs/>
              </w:rPr>
            </w:pPr>
            <w:r>
              <w:rPr>
                <w:b/>
              </w:rPr>
              <w:t>Text(s) available from: [</w:t>
            </w:r>
            <w:bookmarkStart w:id="50" w:name="sps13a"/>
            <w:r>
              <w:rPr>
                <w:b/>
              </w:rPr>
              <w:t xml:space="preserve"> </w:t>
            </w:r>
            <w:bookmarkEnd w:id="50"/>
            <w:r>
              <w:rPr>
                <w:b/>
              </w:rPr>
              <w:t>] National Notification Authority, [</w:t>
            </w:r>
            <w:bookmarkStart w:id="51" w:name="sps13b"/>
            <w:r>
              <w:rPr>
                <w:b/>
              </w:rPr>
              <w:t>X</w:t>
            </w:r>
            <w:bookmarkEnd w:id="51"/>
            <w:r>
              <w:rPr>
                <w:b/>
              </w:rPr>
              <w:t>] National Enquiry Point. Address, fax number and e</w:t>
            </w:r>
            <w:r>
              <w:rPr>
                <w:b/>
              </w:rPr>
              <w:noBreakHyphen/>
              <w:t>mail address (if available) of other body:</w:t>
            </w:r>
            <w:r>
              <w:rPr>
                <w:bCs/>
              </w:rPr>
              <w:t xml:space="preserve"> </w:t>
            </w:r>
            <w:bookmarkStart w:id="52" w:name="sps13c"/>
          </w:p>
          <w:p w:rsidR="001E5DCB" w:rsidRDefault="001E5DCB">
            <w:pPr>
              <w:rPr>
                <w:b/>
                <w:lang w:val="es-ES"/>
              </w:rPr>
            </w:pPr>
            <w:r>
              <w:rPr>
                <w:bCs/>
                <w:lang w:val="es-ES"/>
              </w:rPr>
              <w:t>Patrícia Oliveira Pereira Tagliari</w:t>
            </w:r>
          </w:p>
          <w:p w:rsidR="001E5DCB" w:rsidRDefault="001E5DCB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Tel: +(55 61) 3462 5402/5404/5406</w:t>
            </w:r>
          </w:p>
          <w:p w:rsidR="001E5DCB" w:rsidRDefault="001E5DCB">
            <w:pPr>
              <w:spacing w:after="120"/>
              <w:rPr>
                <w:rFonts w:eastAsiaTheme="minorEastAsia"/>
                <w:bCs/>
                <w:lang w:val="es-ES"/>
              </w:rPr>
            </w:pPr>
            <w:r>
              <w:rPr>
                <w:bCs/>
                <w:lang w:val="es-ES"/>
              </w:rPr>
              <w:t>E-mail: rel@anvisa.gov.br</w:t>
            </w:r>
            <w:bookmarkEnd w:id="52"/>
          </w:p>
        </w:tc>
      </w:tr>
    </w:tbl>
    <w:p w:rsidR="001E5DCB" w:rsidRDefault="001E5DCB" w:rsidP="001E5DCB">
      <w:pPr>
        <w:rPr>
          <w:rFonts w:eastAsiaTheme="minorEastAsia"/>
          <w:lang w:val="es-ES"/>
        </w:rPr>
      </w:pPr>
    </w:p>
    <w:p w:rsidR="001E5DCB" w:rsidRDefault="001E5DCB">
      <w:pPr>
        <w:jc w:val="left"/>
        <w:rPr>
          <w:lang w:val="es-ES"/>
        </w:rPr>
      </w:pPr>
      <w:r>
        <w:rPr>
          <w:lang w:val="es-ES"/>
        </w:rP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32"/>
      </w:tblGrid>
      <w:tr w:rsidR="001E5DCB" w:rsidTr="001E5DCB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60"/>
              <w:gridCol w:w="2870"/>
            </w:tblGrid>
            <w:tr w:rsidR="001E5DCB">
              <w:trPr>
                <w:trHeight w:val="472"/>
                <w:jc w:val="center"/>
              </w:trPr>
              <w:tc>
                <w:tcPr>
                  <w:tcW w:w="6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int="eastAsia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5DCB" w:rsidRDefault="001E5DCB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  <w:kern w:val="2"/>
                      <w:sz w:val="21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G/SPS/N/BRA/1037</w:t>
                  </w:r>
                </w:p>
                <w:p w:rsidR="001E5DCB" w:rsidRDefault="001E5DCB">
                  <w:pPr>
                    <w:spacing w:line="240" w:lineRule="exact"/>
                    <w:jc w:val="left"/>
                    <w:rPr>
                      <w:rFonts w:hAnsi="Calibri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 w:hint="eastAsia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 w:hint="eastAsia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2015-05-12</w:t>
                  </w:r>
                </w:p>
                <w:p w:rsidR="001E5DCB" w:rsidRDefault="001E5DCB">
                  <w:pPr>
                    <w:widowControl w:val="0"/>
                    <w:spacing w:line="240" w:lineRule="exact"/>
                    <w:jc w:val="left"/>
                    <w:rPr>
                      <w:rFonts w:ascii="Times New Roman"/>
                      <w:kern w:val="2"/>
                      <w:sz w:val="21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15-2517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1E5DCB">
              <w:trPr>
                <w:jc w:val="center"/>
              </w:trPr>
              <w:tc>
                <w:tcPr>
                  <w:tcW w:w="6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jc w:val="left"/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kern w:val="2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 w:hint="eastAsia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  <w:proofErr w:type="spellEnd"/>
                </w:p>
              </w:tc>
            </w:tr>
          </w:tbl>
          <w:p w:rsidR="001E5DCB" w:rsidRDefault="001E5DCB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  <w:kern w:val="2"/>
                <w:sz w:val="21"/>
              </w:rPr>
            </w:pPr>
            <w:r>
              <w:rPr>
                <w:b/>
              </w:rPr>
              <w:t xml:space="preserve"> </w:t>
            </w:r>
          </w:p>
          <w:p w:rsidR="001E5DCB" w:rsidRDefault="001E5DCB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1E5DCB" w:rsidRDefault="001E5DCB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697"/>
              <w:gridCol w:w="8290"/>
            </w:tblGrid>
            <w:tr w:rsidR="001E5DCB">
              <w:trPr>
                <w:jc w:val="center"/>
              </w:trPr>
              <w:tc>
                <w:tcPr>
                  <w:tcW w:w="697" w:type="dxa"/>
                  <w:tcBorders>
                    <w:top w:val="double" w:sz="4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  <w:tcBorders>
                    <w:top w:val="double" w:sz="4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E5DCB" w:rsidRDefault="001E5DC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巴西</w:t>
                  </w:r>
                </w:p>
                <w:p w:rsidR="001E5DCB" w:rsidRDefault="001E5DCB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1E5DC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巴西卫生监督局——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ANVISA</w:t>
                  </w:r>
                </w:p>
              </w:tc>
            </w:tr>
            <w:tr w:rsidR="001E5DC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</w:rPr>
                    <w:t>所覆盖产品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</w:rPr>
                    <w:t>提供在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WTO</w:t>
                  </w:r>
                  <w:proofErr w:type="spellStart"/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</w:rPr>
                    <w:t>备案的国家目录中指定的关税条目号；如可能，可另提供国际商品系统编号</w:t>
                  </w:r>
                  <w:proofErr w:type="spellEnd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叶施培植南瓜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西葫芦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棉叶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稻米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燕麦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马铃薯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西兰花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咖啡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甘蔗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大麦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 xml:space="preserve"> (0.4mg/kg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佛手瓜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柑橘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羽衣甘蓝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大白菜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球芽甘蓝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花椰菜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菜豆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向日葵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苹果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西印度香瓜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 xml:space="preserve"> 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、瓜</w:t>
                  </w:r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西瓜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玉米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(0.07mg/kg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黄瓜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、桃</w:t>
                  </w:r>
                  <w:r>
                    <w:rPr>
                      <w:rFonts w:ascii="Times New Roman" w:hAnsi="Times New Roman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卷心菜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大豆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番茄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小麦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葡萄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种施培植棉花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咖啡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35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甘蔗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柑橘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玉米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(0.07mg/kg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大豆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种施培植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imes New Roman" w:hAnsi="Times New Roman" w:hint="eastAsia"/>
                      <w:szCs w:val="21"/>
                    </w:rPr>
                    <w:t>玉米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</w:t>
                  </w:r>
                  <w:proofErr w:type="gramEnd"/>
                  <w:r>
                    <w:rPr>
                      <w:rFonts w:ascii="Times New Roman" w:hAnsi="Times New Roman"/>
                      <w:szCs w:val="21"/>
                    </w:rPr>
                    <w:t>0.07mg/kg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大豆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1E5DC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E5DCB" w:rsidRDefault="001E5DC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1E5DCB" w:rsidRDefault="001E5DC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1E5DCB" w:rsidRDefault="001E5DCB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1E5DC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E5DCB" w:rsidRDefault="001E5DCB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1E5DCB" w:rsidRDefault="001E5DCB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bCs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8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29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日第</w:t>
                  </w:r>
                  <w:r>
                    <w:rPr>
                      <w:rFonts w:hAnsi="Times New Roman"/>
                      <w:lang w:eastAsia="zh-CN"/>
                    </w:rPr>
                    <w:t>RE165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号决议公布的有关杀虫剂、家居消毒产品及木材防腐剂活性成分专项表杀虫剂活性成份</w:t>
                  </w:r>
                  <w:r w:rsidR="00636C71" w:rsidRPr="00636C71">
                    <w:rPr>
                      <w:rFonts w:ascii="宋体" w:eastAsia="宋体" w:hAnsi="宋体" w:cs="宋体" w:hint="eastAsia"/>
                      <w:lang w:eastAsia="zh-CN"/>
                    </w:rPr>
                    <w:t>氯虫苯甲酰胺</w:t>
                  </w:r>
                  <w:r>
                    <w:rPr>
                      <w:rFonts w:hAnsi="Times New Roman"/>
                      <w:lang w:eastAsia="zh-CN"/>
                    </w:rPr>
                    <w:t>-</w:t>
                  </w:r>
                  <w:r w:rsidR="00636C71">
                    <w:rPr>
                      <w:lang w:eastAsia="zh-CN"/>
                    </w:rPr>
                    <w:t xml:space="preserve"> </w:t>
                  </w:r>
                  <w:r w:rsidR="00636C71">
                    <w:rPr>
                      <w:lang w:eastAsia="zh-CN"/>
                    </w:rPr>
                    <w:t>C70</w:t>
                  </w:r>
                  <w:r w:rsidR="00636C71">
                    <w:rPr>
                      <w:rFonts w:hAnsi="Times New Roman"/>
                      <w:lang w:eastAsia="zh-CN"/>
                    </w:rPr>
                    <w:t xml:space="preserve"> 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r w:rsidR="00636C71">
                    <w:rPr>
                      <w:lang w:eastAsia="zh-CN"/>
                    </w:rPr>
                    <w:t>C70 CHLORANTRANILIPROLE</w:t>
                  </w:r>
                  <w:r>
                    <w:rPr>
                      <w:rFonts w:hAnsi="Times New Roman"/>
                      <w:lang w:eastAsia="zh-CN"/>
                    </w:rPr>
                    <w:t>)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的决议草案</w:t>
                  </w:r>
                  <w:r>
                    <w:rPr>
                      <w:rFonts w:hAnsi="Times New Roman"/>
                      <w:lang w:eastAsia="zh-CN"/>
                    </w:rPr>
                    <w:t>——</w:t>
                  </w: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9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日巴西官方公报纳入叶施培植葡萄</w:t>
                  </w:r>
                  <w:r>
                    <w:rPr>
                      <w:rFonts w:hAnsi="Times New Roman"/>
                      <w:lang w:eastAsia="zh-CN"/>
                    </w:rPr>
                    <w:t>(0.1mg/kg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；安全期：</w:t>
                  </w:r>
                  <w:r>
                    <w:rPr>
                      <w:rFonts w:hAnsi="Times New Roman"/>
                      <w:lang w:eastAsia="zh-CN"/>
                    </w:rPr>
                    <w:t>7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天</w:t>
                  </w:r>
                  <w:r>
                    <w:rPr>
                      <w:rFonts w:hAnsi="Times New Roman"/>
                      <w:lang w:eastAsia="zh-CN"/>
                    </w:rPr>
                    <w:t>)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及纳入种施培植玉米</w:t>
                  </w:r>
                  <w:r>
                    <w:rPr>
                      <w:rFonts w:hAnsi="Times New Roman"/>
                      <w:lang w:eastAsia="zh-CN"/>
                    </w:rPr>
                    <w:t>(0.07mg/kg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；因施用方式原因，安全期未定</w:t>
                  </w:r>
                  <w:r>
                    <w:rPr>
                      <w:rFonts w:hAnsi="Times New Roman"/>
                      <w:lang w:eastAsia="zh-CN"/>
                    </w:rPr>
                    <w:t>)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和大豆</w:t>
                  </w:r>
                  <w:r>
                    <w:rPr>
                      <w:rFonts w:hAnsi="Times New Roman"/>
                      <w:lang w:eastAsia="zh-CN"/>
                    </w:rPr>
                    <w:t>(</w:t>
                  </w:r>
                  <w:bookmarkStart w:id="53" w:name="_GoBack"/>
                  <w:bookmarkEnd w:id="53"/>
                  <w:r>
                    <w:rPr>
                      <w:rFonts w:hAnsi="Times New Roman"/>
                      <w:lang w:eastAsia="zh-CN"/>
                    </w:rPr>
                    <w:t>0.2mg/kg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；因施用方式原因，安全期未定</w:t>
                  </w:r>
                  <w:r>
                    <w:rPr>
                      <w:rFonts w:hAnsi="Times New Roman"/>
                      <w:lang w:eastAsia="zh-CN"/>
                    </w:rPr>
                    <w:t>)</w:t>
                  </w:r>
                </w:p>
                <w:p w:rsidR="001E5DCB" w:rsidRDefault="001E5DCB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b w:val="0"/>
                      <w:szCs w:val="21"/>
                      <w:lang w:eastAsia="zh-CN"/>
                    </w:rPr>
                  </w:pP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葡萄牙文</w:t>
                  </w:r>
                </w:p>
                <w:p w:rsidR="001E5DCB" w:rsidRDefault="001E5DCB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kern w:val="2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3</w:t>
                  </w:r>
                  <w:r>
                    <w:rPr>
                      <w:rFonts w:ascii="宋体" w:eastAsia="宋体" w:hAnsi="宋体" w:cs="宋体" w:hint="eastAsia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  </w:t>
                  </w:r>
                </w:p>
                <w:p w:rsidR="001E5DCB" w:rsidRDefault="001E5DCB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http://portal.anvisa.gov.br/wps/wcm/connect/0a3b8f80484c962da18fa5bdc15bfe28/Consulta+P%C3%BAblica+n%C2%B0+37+GGTOX+atual.pdf?MOD=AJPERES</w:t>
                  </w:r>
                </w:p>
              </w:tc>
            </w:tr>
            <w:tr w:rsidR="001E5DC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叶施培植南瓜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西葫芦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棉叶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稻米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燕麦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马铃薯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(0.01mg/kg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西兰花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咖啡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甘蔗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60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大麦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(0.4mg/kg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佛手瓜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柑橘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羽衣甘蓝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大白菜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球芽甘蓝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花椰菜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菜豆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向日葵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(0.02mg/kg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苹果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西印度香瓜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、瓜</w:t>
                  </w:r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西瓜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玉米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lastRenderedPageBreak/>
                    <w:t>(0.07mg/kg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黄瓜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、桃</w:t>
                  </w:r>
                  <w:r>
                    <w:rPr>
                      <w:rFonts w:ascii="Times New Roman" w:hAnsi="Times New Roman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卷心菜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大豆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21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番茄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小麦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葡萄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种施培植棉花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咖啡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(0.03mg/kg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35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甘蔗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柑橘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玉米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(0.07mg/kg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大豆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  <w:proofErr w:type="spellStart"/>
                  <w:proofErr w:type="gramStart"/>
                  <w:r>
                    <w:rPr>
                      <w:rFonts w:ascii="Times New Roman" w:hAnsi="Times New Roman" w:hint="eastAsia"/>
                      <w:szCs w:val="21"/>
                    </w:rPr>
                    <w:t>种施培植玉米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</w:t>
                  </w:r>
                  <w:proofErr w:type="gramEnd"/>
                  <w:r>
                    <w:rPr>
                      <w:rFonts w:ascii="Times New Roman" w:hAnsi="Times New Roman"/>
                      <w:szCs w:val="21"/>
                    </w:rPr>
                    <w:t>0.07mg/kg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大豆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因施用方式原因，安全期未定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1E5DC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7.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: [ X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</w:t>
                  </w:r>
                  <w:proofErr w:type="gramStart"/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家免</w:t>
                  </w:r>
                  <w:proofErr w:type="gramEnd"/>
                  <w:r>
                    <w:rPr>
                      <w:rFonts w:ascii="Times New Roman" w:hAnsi="宋体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/>
                      <w:lang w:eastAsia="zh-CN"/>
                    </w:rPr>
                    <w:t>[  ]</w:t>
                  </w:r>
                </w:p>
              </w:tc>
            </w:tr>
            <w:tr w:rsidR="001E5DC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</w:tcPr>
                <w:p w:rsidR="001E5DCB" w:rsidRDefault="001E5DC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1E5DCB" w:rsidRDefault="001E5DC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1E5DCB" w:rsidRDefault="001E5DC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</w:p>
                <w:p w:rsidR="001E5DCB" w:rsidRDefault="001E5DC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1E5DCB" w:rsidRDefault="001E5DC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</w:p>
                <w:p w:rsidR="001E5DCB" w:rsidRDefault="001E5DC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1E5DCB" w:rsidRDefault="001E5DC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</w:p>
                <w:p w:rsidR="001E5DCB" w:rsidRDefault="001E5DC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1E5DCB" w:rsidRDefault="001E5DCB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1E5DCB" w:rsidRDefault="001E5DCB" w:rsidP="001E5DCB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1E5DCB" w:rsidRDefault="001E5DCB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1E5DC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E5DCB" w:rsidRDefault="001E5DCB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8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日巴西官方公报第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86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期第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节，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54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(ANVISA)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签发的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5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37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号决议草案。一经批准将公布于巴西官方公报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提供葡萄牙文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</w:p>
              </w:tc>
            </w:tr>
            <w:tr w:rsidR="001E5DC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E5DCB" w:rsidRDefault="001E5DC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1E5DCB" w:rsidRDefault="001E5DCB">
                  <w:pPr>
                    <w:keepNext/>
                    <w:keepLines/>
                    <w:widowControl w:val="0"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proofErr w:type="gramStart"/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</w:t>
                  </w:r>
                  <w:proofErr w:type="gramEnd"/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1E5DC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E5DCB" w:rsidRDefault="001E5DC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1E5DCB" w:rsidRDefault="001E5DC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1E5DCB" w:rsidRDefault="001E5DCB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[  ]</w:t>
                  </w:r>
                  <w:proofErr w:type="spellStart"/>
                  <w:r>
                    <w:rPr>
                      <w:rFonts w:ascii="Times New Roman" w:hAnsi="宋体" w:hint="eastAsia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1E5DCB">
              <w:trPr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4" w:space="0" w:color="auto"/>
                  </w:tcBorders>
                  <w:hideMark/>
                </w:tcPr>
                <w:p w:rsidR="001E5DCB" w:rsidRDefault="001E5DCB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2015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日</w:t>
                  </w:r>
                </w:p>
                <w:p w:rsidR="001E5DCB" w:rsidRDefault="001E5DCB">
                  <w:pPr>
                    <w:widowControl w:val="0"/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PatríciaOliveiraPereiraTagliariTel:+(5561)34625402/5404/5406E-mail:rel@anvisa.gov.br</w:t>
                  </w:r>
                </w:p>
              </w:tc>
            </w:tr>
            <w:tr w:rsidR="001E5DCB">
              <w:trPr>
                <w:trHeight w:val="345"/>
                <w:jc w:val="center"/>
              </w:trPr>
              <w:tc>
                <w:tcPr>
                  <w:tcW w:w="697" w:type="dxa"/>
                  <w:tcBorders>
                    <w:top w:val="single" w:sz="6" w:space="0" w:color="auto"/>
                    <w:left w:val="double" w:sz="4" w:space="0" w:color="auto"/>
                    <w:bottom w:val="double" w:sz="4" w:space="0" w:color="auto"/>
                    <w:right w:val="single" w:sz="6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  <w:tcBorders>
                    <w:top w:val="single" w:sz="6" w:space="0" w:color="auto"/>
                    <w:left w:val="single" w:sz="6" w:space="0" w:color="auto"/>
                    <w:bottom w:val="double" w:sz="4" w:space="0" w:color="auto"/>
                    <w:right w:val="double" w:sz="4" w:space="0" w:color="auto"/>
                  </w:tcBorders>
                  <w:hideMark/>
                </w:tcPr>
                <w:p w:rsidR="001E5DCB" w:rsidRDefault="001E5DCB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[ X ]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PatríciaOliveiraPereiraTagliariTel:+(5561)34625402/5404/5406E-mail:rel@anvisa.gov.br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1E5DCB" w:rsidRDefault="001E5DCB">
            <w:pPr>
              <w:widowControl w:val="0"/>
              <w:rPr>
                <w:kern w:val="2"/>
                <w:sz w:val="21"/>
                <w:lang w:eastAsia="zh-CN"/>
              </w:rPr>
            </w:pPr>
          </w:p>
        </w:tc>
      </w:tr>
      <w:tr w:rsidR="001E5DCB" w:rsidTr="001E5DCB">
        <w:trPr>
          <w:jc w:val="center"/>
        </w:trPr>
        <w:tc>
          <w:tcPr>
            <w:tcW w:w="9032" w:type="dxa"/>
            <w:vAlign w:val="center"/>
          </w:tcPr>
          <w:p w:rsidR="001E5DCB" w:rsidRDefault="001E5DCB">
            <w:pPr>
              <w:widowControl w:val="0"/>
              <w:rPr>
                <w:kern w:val="2"/>
                <w:sz w:val="21"/>
                <w:lang w:eastAsia="zh-CN"/>
              </w:rPr>
            </w:pPr>
          </w:p>
        </w:tc>
      </w:tr>
    </w:tbl>
    <w:p w:rsidR="001E5DCB" w:rsidRDefault="001E5DCB" w:rsidP="001E5DCB">
      <w:pPr>
        <w:rPr>
          <w:rFonts w:ascii="Calibri" w:hAnsi="Calibri"/>
          <w:kern w:val="2"/>
          <w:sz w:val="21"/>
          <w:lang w:eastAsia="zh-CN"/>
        </w:rPr>
      </w:pPr>
    </w:p>
    <w:p w:rsidR="001E5DCB" w:rsidRDefault="001E5DCB" w:rsidP="001E5DCB">
      <w:pPr>
        <w:rPr>
          <w:lang w:eastAsia="zh-CN"/>
        </w:rPr>
      </w:pPr>
    </w:p>
    <w:p w:rsidR="00A16CCD" w:rsidRPr="001E5DCB" w:rsidRDefault="00A16CCD" w:rsidP="001E5DCB">
      <w:pPr>
        <w:rPr>
          <w:lang w:val="es-ES" w:eastAsia="zh-CN"/>
        </w:rPr>
      </w:pPr>
    </w:p>
    <w:sectPr w:rsidR="00A16CCD" w:rsidRPr="001E5DCB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028" w:rsidRDefault="00CC0028" w:rsidP="00A16CCD">
      <w:r>
        <w:separator/>
      </w:r>
    </w:p>
  </w:endnote>
  <w:endnote w:type="continuationSeparator" w:id="0">
    <w:p w:rsidR="00CC0028" w:rsidRDefault="00CC0028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028" w:rsidRDefault="00CC0028" w:rsidP="00A16CCD">
      <w:r>
        <w:separator/>
      </w:r>
    </w:p>
  </w:footnote>
  <w:footnote w:type="continuationSeparator" w:id="0">
    <w:p w:rsidR="00CC0028" w:rsidRDefault="00CC0028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E5DC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36C71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4341E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3741B"/>
    <w:rsid w:val="00CC0028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76C80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3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3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1753</Words>
  <Characters>9997</Characters>
  <Application>Microsoft Office Word</Application>
  <DocSecurity>0</DocSecurity>
  <Lines>83</Lines>
  <Paragraphs>23</Paragraphs>
  <ScaleCrop>false</ScaleCrop>
  <LinksUpToDate>false</LinksUpToDate>
  <CharactersWithSpaces>11727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2015-06-11T03:51:00Z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