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3659D4" w:rsidTr="003659D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9D4" w:rsidRDefault="003659D4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9D4" w:rsidRDefault="003659D4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3659D4" w:rsidTr="003659D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3659D4" w:rsidRDefault="003659D4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34F2286" wp14:editId="6DEC4F69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9D4" w:rsidRDefault="003659D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3659D4" w:rsidTr="003659D4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3659D4" w:rsidRDefault="003659D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9D4" w:rsidRDefault="003659D4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G/SPS/N/USA/2763</w:t>
            </w:r>
            <w:bookmarkEnd w:id="1"/>
          </w:p>
          <w:p w:rsidR="003659D4" w:rsidRDefault="003659D4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3659D4" w:rsidTr="003659D4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3659D4" w:rsidRDefault="003659D4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9D4" w:rsidRDefault="003659D4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18 May 2015 </w:t>
            </w:r>
            <w:bookmarkEnd w:id="2"/>
            <w:bookmarkEnd w:id="3"/>
          </w:p>
        </w:tc>
      </w:tr>
      <w:tr w:rsidR="003659D4" w:rsidTr="003659D4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3659D4" w:rsidRDefault="003659D4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(15-2572)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3659D4" w:rsidRDefault="003659D4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bookmarkEnd w:id="5"/>
            <w:r>
              <w:rPr>
                <w:bCs/>
                <w:szCs w:val="16"/>
              </w:rPr>
              <w:t>2</w:t>
            </w:r>
          </w:p>
        </w:tc>
      </w:tr>
      <w:tr w:rsidR="003659D4" w:rsidTr="003659D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659D4" w:rsidRDefault="003659D4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3659D4" w:rsidRDefault="003659D4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3659D4" w:rsidRDefault="003659D4" w:rsidP="003659D4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3659D4" w:rsidTr="003659D4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United States of America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3659D4" w:rsidRDefault="003659D4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9" w:name="sps2a"/>
            <w:r>
              <w:t>U.S. Environmental Protection Agency</w:t>
            </w:r>
            <w:bookmarkEnd w:id="9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0" w:name="sps3a"/>
            <w:r>
              <w:t>Multiple products</w:t>
            </w:r>
            <w:bookmarkEnd w:id="10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3659D4" w:rsidRDefault="003659D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1" w:name="sps4b"/>
            <w:r>
              <w:rPr>
                <w:b/>
              </w:rPr>
              <w:t>X</w:t>
            </w:r>
            <w:bookmarkEnd w:id="1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2" w:name="sps4bbis"/>
            <w:r>
              <w:t xml:space="preserve"> </w:t>
            </w:r>
            <w:bookmarkEnd w:id="12"/>
          </w:p>
          <w:p w:rsidR="003659D4" w:rsidRDefault="003659D4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3" w:name="sps4abis"/>
            <w:r>
              <w:rPr>
                <w:b/>
                <w:bCs/>
              </w:rPr>
              <w:t xml:space="preserve"> </w:t>
            </w:r>
            <w:bookmarkEnd w:id="13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4" w:name="sps4a"/>
            <w:r>
              <w:rPr>
                <w:bCs/>
              </w:rPr>
              <w:t xml:space="preserve"> </w:t>
            </w:r>
            <w:bookmarkEnd w:id="14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5" w:name="sps5a"/>
            <w:r>
              <w:rPr>
                <w:bCs/>
              </w:rPr>
              <w:t>Receipt of Several Pesticide Petitions Filed for Residues of Pesticide Chemicals in or on Various Commodities</w:t>
            </w:r>
            <w:bookmarkEnd w:id="15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6" w:name="sps5b"/>
            <w:r>
              <w:rPr>
                <w:bCs/>
              </w:rPr>
              <w:t>English</w:t>
            </w:r>
            <w:bookmarkEnd w:id="16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7" w:name="sps5c"/>
            <w:r>
              <w:t>2</w:t>
            </w:r>
            <w:bookmarkEnd w:id="17"/>
          </w:p>
          <w:bookmarkStart w:id="18" w:name="sps5d"/>
          <w:p w:rsidR="003659D4" w:rsidRDefault="003659D4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"http://www.gpo.gov/fdsys/pkg/FR-2015-04-22/html/2015-09209.htm" </w:instrText>
            </w:r>
            <w:r>
              <w:fldChar w:fldCharType="separate"/>
            </w:r>
            <w:r>
              <w:rPr>
                <w:rStyle w:val="af3"/>
              </w:rPr>
              <w:t>http://www.gpo.gov/fdsys/pkg/FR-2015-04-22/html/2015-09209.htm</w:t>
            </w:r>
            <w:bookmarkEnd w:id="18"/>
            <w:r>
              <w:fldChar w:fldCharType="end"/>
            </w:r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19" w:name="sps6a"/>
            <w:r>
              <w:t xml:space="preserve">This document announces the Agency's receipt of several initial filings of pesticide petitions requesting the establishment or modification of regulations for residues of </w:t>
            </w:r>
            <w:proofErr w:type="spellStart"/>
            <w:r>
              <w:t>flutriafol</w:t>
            </w:r>
            <w:proofErr w:type="spellEnd"/>
            <w:r>
              <w:t xml:space="preserve">, </w:t>
            </w:r>
            <w:proofErr w:type="spellStart"/>
            <w:r>
              <w:t>cyprodinil</w:t>
            </w:r>
            <w:proofErr w:type="spellEnd"/>
            <w:r>
              <w:t>, and cuprous oxide in or on various commodities.</w:t>
            </w:r>
            <w:bookmarkEnd w:id="19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20" w:name="sps7a"/>
            <w:r>
              <w:rPr>
                <w:b/>
              </w:rPr>
              <w:t>X</w:t>
            </w:r>
            <w:bookmarkEnd w:id="20"/>
            <w:r>
              <w:rPr>
                <w:b/>
              </w:rPr>
              <w:t>] food safety, [</w:t>
            </w:r>
            <w:bookmarkStart w:id="21" w:name="sps7b"/>
            <w:r>
              <w:rPr>
                <w:b/>
              </w:rPr>
              <w:t xml:space="preserve"> </w:t>
            </w:r>
            <w:bookmarkEnd w:id="21"/>
            <w:r>
              <w:rPr>
                <w:b/>
              </w:rPr>
              <w:t>] animal health, [</w:t>
            </w:r>
            <w:bookmarkStart w:id="22" w:name="sps7c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plant protection, [</w:t>
            </w:r>
            <w:bookmarkStart w:id="23" w:name="sps7d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protect humans from animal/plant pest or disease, [</w:t>
            </w:r>
            <w:bookmarkStart w:id="24" w:name="sps7e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 xml:space="preserve">] protect territory from other damage from pests. </w:t>
            </w:r>
            <w:bookmarkStart w:id="25" w:name="sps7f"/>
            <w:r>
              <w:t xml:space="preserve"> </w:t>
            </w:r>
            <w:bookmarkEnd w:id="25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3659D4" w:rsidRDefault="003659D4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6" w:name="sps8a"/>
            <w:r>
              <w:rPr>
                <w:b/>
                <w:lang w:val="fr-FR"/>
              </w:rPr>
              <w:t xml:space="preserve"> </w:t>
            </w:r>
            <w:bookmarkEnd w:id="26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7" w:name="sps8atext"/>
            <w:r>
              <w:t xml:space="preserve"> </w:t>
            </w:r>
            <w:bookmarkEnd w:id="27"/>
          </w:p>
          <w:p w:rsidR="003659D4" w:rsidRDefault="003659D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8" w:name="sps8b"/>
            <w:r>
              <w:rPr>
                <w:b/>
              </w:rPr>
              <w:t xml:space="preserve"> </w:t>
            </w:r>
            <w:bookmarkEnd w:id="28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29" w:name="sps8btext"/>
            <w:r>
              <w:t xml:space="preserve"> </w:t>
            </w:r>
            <w:bookmarkEnd w:id="29"/>
          </w:p>
          <w:p w:rsidR="003659D4" w:rsidRDefault="003659D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0" w:name="sps8c"/>
            <w:r>
              <w:rPr>
                <w:b/>
              </w:rPr>
              <w:t xml:space="preserve"> </w:t>
            </w:r>
            <w:bookmarkEnd w:id="30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1" w:name="sps8ctext"/>
            <w:r>
              <w:t xml:space="preserve"> </w:t>
            </w:r>
            <w:bookmarkEnd w:id="31"/>
          </w:p>
          <w:p w:rsidR="003659D4" w:rsidRDefault="003659D4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2" w:name="sps8d"/>
            <w:r>
              <w:rPr>
                <w:b/>
              </w:rPr>
              <w:t>X</w:t>
            </w:r>
            <w:bookmarkEnd w:id="32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3659D4" w:rsidRDefault="003659D4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3659D4" w:rsidRDefault="003659D4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ey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 Yes   [</w:t>
            </w:r>
            <w:bookmarkStart w:id="34" w:name="sps8en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No</w:t>
            </w:r>
          </w:p>
          <w:p w:rsidR="003659D4" w:rsidRDefault="003659D4">
            <w:pPr>
              <w:spacing w:after="120"/>
              <w:ind w:firstLine="607"/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 xml:space="preserve">international standard: </w:t>
            </w:r>
            <w:bookmarkStart w:id="35" w:name="sps8e"/>
            <w:r>
              <w:t xml:space="preserve"> </w:t>
            </w:r>
            <w:bookmarkEnd w:id="35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6" w:name="sps9a"/>
            <w:r>
              <w:t xml:space="preserve"> </w:t>
            </w:r>
            <w:bookmarkEnd w:id="36"/>
            <w:r>
              <w:rPr>
                <w:bCs/>
              </w:rPr>
              <w:t xml:space="preserve"> </w:t>
            </w:r>
            <w:bookmarkStart w:id="37" w:name="sps9b"/>
            <w:r>
              <w:rPr>
                <w:bCs/>
              </w:rPr>
              <w:t xml:space="preserve"> </w:t>
            </w:r>
            <w:bookmarkEnd w:id="37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keepNext/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keepNext/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8" w:name="sps10a"/>
            <w:r>
              <w:t>To be determined</w:t>
            </w:r>
            <w:bookmarkEnd w:id="38"/>
            <w:r>
              <w:t>.</w:t>
            </w:r>
          </w:p>
          <w:p w:rsidR="003659D4" w:rsidRDefault="003659D4">
            <w:pPr>
              <w:keepNext/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bisa"/>
            <w:r>
              <w:t>To be determined</w:t>
            </w:r>
            <w:bookmarkEnd w:id="39"/>
            <w:r>
              <w:t>.</w:t>
            </w:r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40" w:name="sps11c"/>
            <w:r>
              <w:rPr>
                <w:b/>
              </w:rPr>
              <w:t xml:space="preserve"> </w:t>
            </w:r>
            <w:bookmarkEnd w:id="40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1" w:name="sps11a"/>
            <w:r>
              <w:t>Not applicable</w:t>
            </w:r>
            <w:bookmarkEnd w:id="41"/>
          </w:p>
          <w:p w:rsidR="003659D4" w:rsidRDefault="003659D4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2" w:name="sps11e"/>
            <w:r>
              <w:rPr>
                <w:b/>
              </w:rPr>
              <w:t>X</w:t>
            </w:r>
            <w:bookmarkEnd w:id="4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3" w:name="sps11ebis"/>
            <w:r>
              <w:t xml:space="preserve"> </w:t>
            </w:r>
            <w:bookmarkEnd w:id="43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4" w:name="sps12e"/>
            <w:r>
              <w:rPr>
                <w:b/>
              </w:rPr>
              <w:t xml:space="preserve"> </w:t>
            </w:r>
            <w:bookmarkEnd w:id="44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5" w:name="sps12a"/>
            <w:r>
              <w:t>22 May 2015</w:t>
            </w:r>
            <w:bookmarkEnd w:id="45"/>
          </w:p>
          <w:p w:rsidR="003659D4" w:rsidRDefault="003659D4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6" w:name="sps12b"/>
            <w:r>
              <w:rPr>
                <w:b/>
              </w:rPr>
              <w:t xml:space="preserve"> </w:t>
            </w:r>
            <w:bookmarkEnd w:id="46"/>
            <w:r>
              <w:rPr>
                <w:b/>
              </w:rPr>
              <w:t>] National Notification Authority, [</w:t>
            </w:r>
            <w:bookmarkStart w:id="47" w:name="sps12c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3659D4" w:rsidRDefault="003659D4">
            <w:pPr>
              <w:spacing w:after="120"/>
              <w:rPr>
                <w:rFonts w:eastAsiaTheme="minorEastAsia"/>
              </w:rPr>
            </w:pPr>
            <w:r>
              <w:t xml:space="preserve">Susan Lewis, Registration Division (RD) (7505P), Tel: </w:t>
            </w:r>
            <w:proofErr w:type="gramStart"/>
            <w:r>
              <w:t>+(</w:t>
            </w:r>
            <w:proofErr w:type="gramEnd"/>
            <w:r>
              <w:t>1 703) 305 7090; E</w:t>
            </w:r>
            <w:r>
              <w:noBreakHyphen/>
              <w:t>mail: RDFRNotices@epa.gov. The mailing address for each contact person is: Office of Pesticide Programs, Environmental Protection Agency, 1200 Pennsylvania Ave. NW., Washington, DC 20460-0001. As part of the mailing address, include the contact person's name, division, and mail code. The division to contact is listed at the end of each pesticide petition summary.</w:t>
            </w:r>
            <w:bookmarkEnd w:id="48"/>
          </w:p>
        </w:tc>
      </w:tr>
      <w:tr w:rsidR="003659D4" w:rsidTr="003659D4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3659D4" w:rsidRDefault="003659D4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3659D4" w:rsidRDefault="003659D4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49" w:name="sps13a"/>
            <w:r>
              <w:rPr>
                <w:b/>
              </w:rPr>
              <w:t xml:space="preserve"> </w:t>
            </w:r>
            <w:bookmarkEnd w:id="49"/>
            <w:r>
              <w:rPr>
                <w:b/>
              </w:rPr>
              <w:t>] National Notification Authority, [</w:t>
            </w:r>
            <w:bookmarkStart w:id="50" w:name="sps13b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1" w:name="sps13c"/>
          </w:p>
          <w:p w:rsidR="003659D4" w:rsidRDefault="003659D4">
            <w:pPr>
              <w:spacing w:before="120" w:after="120"/>
              <w:rPr>
                <w:rFonts w:eastAsiaTheme="minorEastAsia"/>
                <w:b/>
              </w:rPr>
            </w:pPr>
            <w:r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1"/>
          </w:p>
        </w:tc>
      </w:tr>
    </w:tbl>
    <w:p w:rsidR="003659D4" w:rsidRDefault="003659D4" w:rsidP="003659D4">
      <w:pPr>
        <w:rPr>
          <w:rFonts w:eastAsiaTheme="minorEastAsia"/>
          <w:sz w:val="15"/>
          <w:szCs w:val="15"/>
        </w:rPr>
      </w:pPr>
    </w:p>
    <w:p w:rsidR="003659D4" w:rsidRDefault="003659D4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3659D4" w:rsidTr="003659D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3659D4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9D4" w:rsidRDefault="003659D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  <w:kern w:val="2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G/SPS/N/USA/2763</w:t>
                  </w:r>
                </w:p>
                <w:p w:rsidR="003659D4" w:rsidRDefault="003659D4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2015-05-18</w:t>
                  </w:r>
                </w:p>
                <w:p w:rsidR="003659D4" w:rsidRDefault="003659D4">
                  <w:pPr>
                    <w:widowControl w:val="0"/>
                    <w:spacing w:line="240" w:lineRule="exact"/>
                    <w:jc w:val="left"/>
                    <w:rPr>
                      <w:rFonts w:ascii="Times New Roman"/>
                      <w:kern w:val="2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15-2572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3659D4" w:rsidRDefault="003659D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3659D4" w:rsidRDefault="003659D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3659D4" w:rsidRDefault="003659D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sz w:val="21"/>
              </w:rPr>
            </w:pPr>
            <w:r>
              <w:t xml:space="preserve">                                    </w:t>
            </w:r>
          </w:p>
          <w:p w:rsidR="003659D4" w:rsidRDefault="003659D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  <w:r>
              <w:t xml:space="preserve">                                       </w:t>
            </w:r>
          </w:p>
          <w:p w:rsidR="003659D4" w:rsidRDefault="003659D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获悉有关不同商品内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表杀虫剂化学物残留的若干杀虫剂申请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</w:p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</w:p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  </w:t>
                  </w:r>
                </w:p>
                <w:p w:rsidR="003659D4" w:rsidRDefault="003659D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http://www.gpo.gov/fdsys/pkg/FR-2015-04-22/html/2015-09209.htm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本文件宣布本署获悉要求制定和修改不同商品内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表粉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唑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Flutriafol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嘧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菌环胺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Cyprodinil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、氧化亚铜残留法规的若干杀虫剂申请。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3659D4" w:rsidRDefault="003659D4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3659D4" w:rsidRDefault="003659D4" w:rsidP="003659D4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3659D4" w:rsidRDefault="003659D4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3659D4" w:rsidRDefault="003659D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不适用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3659D4" w:rsidRDefault="003659D4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3659D4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</w:p>
                <w:p w:rsidR="003659D4" w:rsidRDefault="003659D4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SusanLewis,RegistrationDivision(RD)(7505P),Tel:+(1703)3057090;Email:RDFRNotices@epa.gov.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个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联系人的通讯地址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:OfficeofPesticidePrograms</w:t>
                  </w:r>
                  <w:proofErr w:type="gram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,EnvironmentalProtectionAgency,1200PennsylvaniaAve.NW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.,Washington,DC20460-0001.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作为通信地址的一部分，请包括联系人姓名、部门及邮政编号。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联系部门列在各杀虫剂申请概要结尾处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3659D4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3659D4" w:rsidRDefault="003659D4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3659D4" w:rsidRDefault="003659D4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  <w:tr w:rsidR="003659D4" w:rsidTr="003659D4">
        <w:trPr>
          <w:jc w:val="center"/>
        </w:trPr>
        <w:tc>
          <w:tcPr>
            <w:tcW w:w="9032" w:type="dxa"/>
            <w:vAlign w:val="center"/>
          </w:tcPr>
          <w:p w:rsidR="003659D4" w:rsidRDefault="003659D4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</w:tbl>
    <w:p w:rsidR="003659D4" w:rsidRDefault="003659D4" w:rsidP="003659D4">
      <w:pPr>
        <w:rPr>
          <w:rFonts w:ascii="Calibri" w:hAnsi="Calibri"/>
          <w:kern w:val="2"/>
          <w:sz w:val="21"/>
          <w:lang w:eastAsia="zh-CN"/>
        </w:rPr>
      </w:pPr>
    </w:p>
    <w:p w:rsidR="003659D4" w:rsidRDefault="003659D4" w:rsidP="003659D4">
      <w:pPr>
        <w:rPr>
          <w:lang w:eastAsia="zh-CN"/>
        </w:rPr>
      </w:pPr>
    </w:p>
    <w:p w:rsidR="00A16CCD" w:rsidRPr="003659D4" w:rsidRDefault="00A16CCD" w:rsidP="003659D4">
      <w:pPr>
        <w:rPr>
          <w:lang w:eastAsia="zh-CN"/>
        </w:rPr>
      </w:pPr>
      <w:bookmarkStart w:id="52" w:name="_GoBack"/>
      <w:bookmarkEnd w:id="52"/>
    </w:p>
    <w:sectPr w:rsidR="00A16CCD" w:rsidRPr="003659D4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EB" w:rsidRDefault="007C0AEB" w:rsidP="00A16CCD">
      <w:r>
        <w:separator/>
      </w:r>
    </w:p>
  </w:endnote>
  <w:endnote w:type="continuationSeparator" w:id="0">
    <w:p w:rsidR="007C0AEB" w:rsidRDefault="007C0AEB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EB" w:rsidRDefault="007C0AEB" w:rsidP="00A16CCD">
      <w:r>
        <w:separator/>
      </w:r>
    </w:p>
  </w:footnote>
  <w:footnote w:type="continuationSeparator" w:id="0">
    <w:p w:rsidR="007C0AEB" w:rsidRDefault="007C0AEB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659D4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7C0AEB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LinksUpToDate>false</LinksUpToDate>
  <CharactersWithSpaces>5188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