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11ED1" w:rsidRPr="00AD0FDA" w:rsidTr="00B14E87">
        <w:trPr>
          <w:trHeight w:val="240"/>
          <w:jc w:val="center"/>
        </w:trPr>
        <w:tc>
          <w:tcPr>
            <w:tcW w:w="3794" w:type="dxa"/>
            <w:shd w:val="clear" w:color="auto" w:fill="FFFFFF"/>
            <w:tcMar>
              <w:left w:w="108" w:type="dxa"/>
              <w:right w:w="108" w:type="dxa"/>
            </w:tcMar>
            <w:vAlign w:val="center"/>
          </w:tcPr>
          <w:p w:rsidR="00E11ED1" w:rsidRPr="00AD0FDA" w:rsidRDefault="00E11ED1" w:rsidP="00B14E8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11ED1" w:rsidRPr="00AD0FDA" w:rsidRDefault="00E11ED1" w:rsidP="00B14E87">
            <w:pPr>
              <w:jc w:val="right"/>
              <w:rPr>
                <w:b/>
                <w:color w:val="FF0000"/>
                <w:szCs w:val="16"/>
              </w:rPr>
            </w:pPr>
            <w:r>
              <w:rPr>
                <w:b/>
                <w:color w:val="FF0000"/>
                <w:szCs w:val="16"/>
              </w:rPr>
              <w:t xml:space="preserve"> </w:t>
            </w:r>
          </w:p>
        </w:tc>
      </w:tr>
      <w:bookmarkEnd w:id="0"/>
      <w:tr w:rsidR="00E11ED1" w:rsidRPr="00AD0FDA" w:rsidTr="00B14E87">
        <w:trPr>
          <w:trHeight w:val="213"/>
          <w:jc w:val="center"/>
        </w:trPr>
        <w:tc>
          <w:tcPr>
            <w:tcW w:w="3794" w:type="dxa"/>
            <w:vMerge w:val="restart"/>
            <w:shd w:val="clear" w:color="auto" w:fill="FFFFFF"/>
            <w:tcMar>
              <w:left w:w="0" w:type="dxa"/>
              <w:right w:w="0" w:type="dxa"/>
            </w:tcMar>
          </w:tcPr>
          <w:p w:rsidR="00E11ED1" w:rsidRPr="00AD0FDA" w:rsidRDefault="00E11ED1" w:rsidP="00B14E87">
            <w:pPr>
              <w:jc w:val="left"/>
            </w:pPr>
            <w:r>
              <w:rPr>
                <w:noProof/>
                <w:lang w:val="en-US" w:eastAsia="zh-CN"/>
              </w:rPr>
              <w:drawing>
                <wp:inline distT="0" distB="0" distL="0" distR="0" wp14:anchorId="6133C7E3" wp14:editId="1A883419">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11ED1" w:rsidRPr="00AD0FDA" w:rsidRDefault="00E11ED1" w:rsidP="00B14E87">
            <w:pPr>
              <w:jc w:val="right"/>
              <w:rPr>
                <w:b/>
                <w:szCs w:val="16"/>
              </w:rPr>
            </w:pPr>
          </w:p>
        </w:tc>
      </w:tr>
      <w:tr w:rsidR="00E11ED1" w:rsidRPr="00B86DD6" w:rsidTr="00B14E87">
        <w:trPr>
          <w:trHeight w:val="868"/>
          <w:jc w:val="center"/>
        </w:trPr>
        <w:tc>
          <w:tcPr>
            <w:tcW w:w="3794" w:type="dxa"/>
            <w:vMerge/>
            <w:shd w:val="clear" w:color="auto" w:fill="FFFFFF"/>
            <w:tcMar>
              <w:left w:w="108" w:type="dxa"/>
              <w:right w:w="108" w:type="dxa"/>
            </w:tcMar>
          </w:tcPr>
          <w:p w:rsidR="00E11ED1" w:rsidRPr="00AD0FDA" w:rsidRDefault="00E11ED1" w:rsidP="00B14E87">
            <w:pPr>
              <w:jc w:val="left"/>
              <w:rPr>
                <w:noProof/>
                <w:lang w:eastAsia="en-GB"/>
              </w:rPr>
            </w:pPr>
          </w:p>
        </w:tc>
        <w:tc>
          <w:tcPr>
            <w:tcW w:w="5448" w:type="dxa"/>
            <w:gridSpan w:val="2"/>
            <w:shd w:val="clear" w:color="auto" w:fill="FFFFFF"/>
            <w:tcMar>
              <w:left w:w="108" w:type="dxa"/>
              <w:right w:w="108" w:type="dxa"/>
            </w:tcMar>
          </w:tcPr>
          <w:p w:rsidR="00E11ED1" w:rsidRPr="00B86DD6" w:rsidRDefault="00E11ED1" w:rsidP="00B14E87">
            <w:pPr>
              <w:jc w:val="right"/>
              <w:rPr>
                <w:b/>
                <w:szCs w:val="16"/>
                <w:lang w:val="fr-CH"/>
              </w:rPr>
            </w:pPr>
            <w:bookmarkStart w:id="1" w:name="bmkSymbols"/>
            <w:r w:rsidRPr="00B86DD6">
              <w:rPr>
                <w:b/>
                <w:szCs w:val="16"/>
                <w:lang w:val="fr-CH"/>
              </w:rPr>
              <w:t>G/SPS/N/EU/84/Add.1</w:t>
            </w:r>
          </w:p>
          <w:bookmarkEnd w:id="1"/>
          <w:p w:rsidR="00E11ED1" w:rsidRPr="00B86DD6" w:rsidRDefault="00E11ED1" w:rsidP="00B14E87">
            <w:pPr>
              <w:jc w:val="right"/>
              <w:rPr>
                <w:b/>
                <w:szCs w:val="16"/>
                <w:lang w:val="fr-CH"/>
              </w:rPr>
            </w:pPr>
          </w:p>
        </w:tc>
      </w:tr>
      <w:tr w:rsidR="00E11ED1" w:rsidRPr="00B86DD6" w:rsidTr="00B14E87">
        <w:trPr>
          <w:trHeight w:val="240"/>
          <w:jc w:val="center"/>
        </w:trPr>
        <w:tc>
          <w:tcPr>
            <w:tcW w:w="3794" w:type="dxa"/>
            <w:vMerge/>
            <w:shd w:val="clear" w:color="auto" w:fill="FFFFFF"/>
            <w:tcMar>
              <w:left w:w="108" w:type="dxa"/>
              <w:right w:w="108" w:type="dxa"/>
            </w:tcMar>
            <w:vAlign w:val="center"/>
          </w:tcPr>
          <w:p w:rsidR="00E11ED1" w:rsidRPr="00B86DD6" w:rsidRDefault="00E11ED1" w:rsidP="00B14E87">
            <w:pPr>
              <w:rPr>
                <w:lang w:val="fr-CH"/>
              </w:rPr>
            </w:pPr>
          </w:p>
        </w:tc>
        <w:tc>
          <w:tcPr>
            <w:tcW w:w="5448" w:type="dxa"/>
            <w:gridSpan w:val="2"/>
            <w:shd w:val="clear" w:color="auto" w:fill="FFFFFF"/>
            <w:tcMar>
              <w:left w:w="108" w:type="dxa"/>
              <w:right w:w="108" w:type="dxa"/>
            </w:tcMar>
            <w:vAlign w:val="center"/>
          </w:tcPr>
          <w:p w:rsidR="00E11ED1" w:rsidRPr="00B86DD6" w:rsidRDefault="00E11ED1" w:rsidP="00B14E87">
            <w:pPr>
              <w:jc w:val="right"/>
              <w:rPr>
                <w:szCs w:val="16"/>
                <w:lang w:val="fr-CH"/>
              </w:rPr>
            </w:pPr>
            <w:r>
              <w:rPr>
                <w:szCs w:val="16"/>
                <w:lang w:val="fr-CH"/>
              </w:rPr>
              <w:t>21 April 2015</w:t>
            </w:r>
          </w:p>
        </w:tc>
      </w:tr>
      <w:tr w:rsidR="00E11ED1" w:rsidRPr="00AD0FDA" w:rsidTr="00B14E87">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11ED1" w:rsidRPr="00AD0FDA" w:rsidRDefault="00E11ED1" w:rsidP="00B14E87">
            <w:pPr>
              <w:jc w:val="left"/>
              <w:rPr>
                <w:b/>
              </w:rPr>
            </w:pPr>
            <w:bookmarkStart w:id="2" w:name="bmkSerial"/>
            <w:r>
              <w:rPr>
                <w:color w:val="FF0000"/>
                <w:szCs w:val="16"/>
              </w:rPr>
              <w:t>(15-2100</w:t>
            </w:r>
            <w:r w:rsidRPr="00AD0FDA">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E11ED1" w:rsidRPr="00AD0FDA" w:rsidRDefault="00E11ED1" w:rsidP="00B14E87">
            <w:pPr>
              <w:jc w:val="right"/>
              <w:rPr>
                <w:szCs w:val="16"/>
              </w:rPr>
            </w:pPr>
            <w:bookmarkStart w:id="3"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3"/>
          </w:p>
        </w:tc>
      </w:tr>
      <w:tr w:rsidR="00E11ED1" w:rsidRPr="00AD0FDA" w:rsidTr="00B14E87">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11ED1" w:rsidRPr="00AD0FDA" w:rsidRDefault="00E11ED1" w:rsidP="00B14E87">
            <w:pPr>
              <w:jc w:val="left"/>
              <w:rPr>
                <w:sz w:val="14"/>
                <w:szCs w:val="16"/>
              </w:rPr>
            </w:pPr>
            <w:bookmarkStart w:id="4" w:name="bmkCommittee"/>
            <w:r>
              <w:rPr>
                <w:b/>
              </w:rPr>
              <w:t xml:space="preserve">Committee on Sanitary and </w:t>
            </w:r>
            <w:proofErr w:type="spellStart"/>
            <w:r>
              <w:rPr>
                <w:b/>
              </w:rPr>
              <w:t>Phytosanitary</w:t>
            </w:r>
            <w:proofErr w:type="spellEnd"/>
            <w:r>
              <w:rPr>
                <w:b/>
              </w:rPr>
              <w:t xml:space="preserve"> Measures</w:t>
            </w:r>
            <w:bookmarkEnd w:id="4"/>
          </w:p>
        </w:tc>
        <w:tc>
          <w:tcPr>
            <w:tcW w:w="3325" w:type="dxa"/>
            <w:tcBorders>
              <w:top w:val="single" w:sz="4" w:space="0" w:color="auto"/>
            </w:tcBorders>
            <w:tcMar>
              <w:top w:w="113" w:type="dxa"/>
              <w:left w:w="108" w:type="dxa"/>
              <w:bottom w:w="57" w:type="dxa"/>
              <w:right w:w="108" w:type="dxa"/>
            </w:tcMar>
            <w:vAlign w:val="center"/>
          </w:tcPr>
          <w:p w:rsidR="00E11ED1" w:rsidRPr="00AD0FDA" w:rsidRDefault="00E11ED1" w:rsidP="00B14E87">
            <w:pPr>
              <w:jc w:val="right"/>
              <w:rPr>
                <w:bCs/>
                <w:szCs w:val="18"/>
              </w:rPr>
            </w:pPr>
            <w:bookmarkStart w:id="5" w:name="bmkLanguage"/>
            <w:r>
              <w:rPr>
                <w:bCs/>
                <w:szCs w:val="18"/>
              </w:rPr>
              <w:t>Original: English</w:t>
            </w:r>
            <w:bookmarkEnd w:id="5"/>
          </w:p>
        </w:tc>
      </w:tr>
    </w:tbl>
    <w:p w:rsidR="00E11ED1" w:rsidRPr="00E11ED1" w:rsidRDefault="00E11ED1" w:rsidP="00E11ED1">
      <w:pPr>
        <w:spacing w:before="480" w:after="240"/>
        <w:contextualSpacing/>
        <w:jc w:val="center"/>
        <w:rPr>
          <w:rFonts w:eastAsia="Times New Roman"/>
          <w:b/>
          <w:caps/>
          <w:color w:val="006283"/>
          <w:kern w:val="28"/>
          <w:szCs w:val="52"/>
        </w:rPr>
      </w:pPr>
      <w:r w:rsidRPr="00E11ED1">
        <w:rPr>
          <w:rFonts w:eastAsia="Times New Roman"/>
          <w:b/>
          <w:caps/>
          <w:color w:val="006283"/>
          <w:kern w:val="28"/>
          <w:szCs w:val="52"/>
        </w:rPr>
        <w:t>NOTIFICATION</w:t>
      </w:r>
    </w:p>
    <w:p w:rsidR="00E11ED1" w:rsidRPr="00E11ED1" w:rsidRDefault="00E11ED1" w:rsidP="00E11ED1">
      <w:pPr>
        <w:spacing w:after="360"/>
        <w:jc w:val="center"/>
        <w:rPr>
          <w:i/>
          <w:color w:val="006283"/>
          <w:szCs w:val="18"/>
          <w:lang w:eastAsia="en-GB"/>
        </w:rPr>
      </w:pPr>
      <w:r w:rsidRPr="00E11ED1">
        <w:rPr>
          <w:i/>
          <w:color w:val="006283"/>
          <w:szCs w:val="18"/>
          <w:lang w:eastAsia="en-GB"/>
        </w:rPr>
        <w:t>Addendum</w:t>
      </w:r>
    </w:p>
    <w:p w:rsidR="00E11ED1" w:rsidRPr="00E11ED1" w:rsidRDefault="00E11ED1" w:rsidP="00E11ED1">
      <w:pPr>
        <w:rPr>
          <w:rFonts w:hint="eastAsia"/>
          <w:lang w:eastAsia="zh-CN"/>
        </w:rPr>
      </w:pPr>
      <w:r w:rsidRPr="00E11ED1">
        <w:t xml:space="preserve">The following communication, received on </w:t>
      </w:r>
      <w:bookmarkStart w:id="6" w:name="spsDateReception"/>
      <w:bookmarkStart w:id="7" w:name="spsDateCommunication"/>
      <w:r w:rsidRPr="00E11ED1">
        <w:t>17 April 2015</w:t>
      </w:r>
      <w:bookmarkEnd w:id="6"/>
      <w:bookmarkEnd w:id="7"/>
      <w:r w:rsidRPr="00E11ED1">
        <w:t xml:space="preserve">, is being circulated at the request of the Delegation of the </w:t>
      </w:r>
      <w:bookmarkStart w:id="8" w:name="spsMember"/>
      <w:r w:rsidRPr="00E11ED1">
        <w:rPr>
          <w:u w:val="single"/>
        </w:rPr>
        <w:t>European Union</w:t>
      </w:r>
      <w:bookmarkEnd w:id="8"/>
      <w:r w:rsidRPr="00E11ED1">
        <w:t>.</w:t>
      </w:r>
    </w:p>
    <w:tbl>
      <w:tblPr>
        <w:tblW w:w="0" w:type="auto"/>
        <w:tblLayout w:type="fixed"/>
        <w:tblLook w:val="01E0" w:firstRow="1" w:lastRow="1" w:firstColumn="1" w:lastColumn="1" w:noHBand="0" w:noVBand="0"/>
      </w:tblPr>
      <w:tblGrid>
        <w:gridCol w:w="9242"/>
      </w:tblGrid>
      <w:tr w:rsidR="00E11ED1" w:rsidRPr="00E11ED1" w:rsidTr="00B14E87">
        <w:tc>
          <w:tcPr>
            <w:tcW w:w="9242" w:type="dxa"/>
          </w:tcPr>
          <w:p w:rsidR="00E11ED1" w:rsidRPr="00E11ED1" w:rsidRDefault="00E11ED1" w:rsidP="00E11ED1">
            <w:pPr>
              <w:spacing w:after="240"/>
              <w:rPr>
                <w:u w:val="single"/>
              </w:rPr>
            </w:pPr>
            <w:bookmarkStart w:id="9" w:name="spsTitle"/>
            <w:r w:rsidRPr="00E11ED1">
              <w:rPr>
                <w:u w:val="single"/>
              </w:rPr>
              <w:t xml:space="preserve">MRLs for bone oil, carbon monoxide, </w:t>
            </w:r>
            <w:proofErr w:type="spellStart"/>
            <w:r w:rsidRPr="00E11ED1">
              <w:rPr>
                <w:u w:val="single"/>
              </w:rPr>
              <w:t>cyprodinil</w:t>
            </w:r>
            <w:proofErr w:type="spellEnd"/>
            <w:r w:rsidRPr="00E11ED1">
              <w:rPr>
                <w:u w:val="single"/>
              </w:rPr>
              <w:t xml:space="preserve">, </w:t>
            </w:r>
            <w:proofErr w:type="spellStart"/>
            <w:r w:rsidRPr="00E11ED1">
              <w:rPr>
                <w:u w:val="single"/>
              </w:rPr>
              <w:t>dodemorph</w:t>
            </w:r>
            <w:proofErr w:type="spellEnd"/>
            <w:r w:rsidRPr="00E11ED1">
              <w:rPr>
                <w:u w:val="single"/>
              </w:rPr>
              <w:t xml:space="preserve">, </w:t>
            </w:r>
            <w:proofErr w:type="spellStart"/>
            <w:r w:rsidRPr="00E11ED1">
              <w:rPr>
                <w:u w:val="single"/>
              </w:rPr>
              <w:t>iprodione</w:t>
            </w:r>
            <w:proofErr w:type="spellEnd"/>
            <w:r w:rsidRPr="00E11ED1">
              <w:rPr>
                <w:u w:val="single"/>
              </w:rPr>
              <w:t xml:space="preserve">, </w:t>
            </w:r>
            <w:proofErr w:type="spellStart"/>
            <w:r w:rsidRPr="00E11ED1">
              <w:rPr>
                <w:u w:val="single"/>
              </w:rPr>
              <w:t>metaldehyde</w:t>
            </w:r>
            <w:proofErr w:type="spellEnd"/>
            <w:r w:rsidRPr="00E11ED1">
              <w:rPr>
                <w:u w:val="single"/>
              </w:rPr>
              <w:t xml:space="preserve">, metazachlor, paraffin oil (CAS 64742-54-7), petroleum oils (CAS 92062-35-6) and </w:t>
            </w:r>
            <w:proofErr w:type="spellStart"/>
            <w:r w:rsidRPr="00E11ED1">
              <w:rPr>
                <w:u w:val="single"/>
              </w:rPr>
              <w:t>propargite</w:t>
            </w:r>
            <w:proofErr w:type="spellEnd"/>
            <w:r w:rsidRPr="00E11ED1">
              <w:rPr>
                <w:u w:val="single"/>
              </w:rPr>
              <w:t xml:space="preserve"> in or on certain products</w:t>
            </w:r>
            <w:bookmarkEnd w:id="9"/>
          </w:p>
        </w:tc>
      </w:tr>
      <w:tr w:rsidR="00E11ED1" w:rsidRPr="00E11ED1" w:rsidTr="00B14E87">
        <w:tc>
          <w:tcPr>
            <w:tcW w:w="9242" w:type="dxa"/>
          </w:tcPr>
          <w:p w:rsidR="00E11ED1" w:rsidRPr="00E11ED1" w:rsidRDefault="00E11ED1" w:rsidP="00E11ED1">
            <w:pPr>
              <w:spacing w:after="240"/>
              <w:rPr>
                <w:u w:val="single"/>
              </w:rPr>
            </w:pPr>
            <w:bookmarkStart w:id="10" w:name="spsMeasure"/>
            <w:r w:rsidRPr="00E11ED1">
              <w:t xml:space="preserve">The proposal notified in G/SPS/N/EU/84 (4 July 2014) has been adopted as "Commission Regulation (EU) 2015/400 of 25 February 2015 amending Annexes II, III and V to Regulation (EC) No 396/2005 of the European Parliament and of the Council as regards maximum residue levels for bone oil, carbon monoxide, </w:t>
            </w:r>
            <w:proofErr w:type="spellStart"/>
            <w:r w:rsidRPr="00E11ED1">
              <w:t>cyprodinil</w:t>
            </w:r>
            <w:proofErr w:type="spellEnd"/>
            <w:r w:rsidRPr="00E11ED1">
              <w:t xml:space="preserve">, </w:t>
            </w:r>
            <w:proofErr w:type="spellStart"/>
            <w:r w:rsidRPr="00E11ED1">
              <w:t>dodemorph</w:t>
            </w:r>
            <w:proofErr w:type="spellEnd"/>
            <w:r w:rsidRPr="00E11ED1">
              <w:t xml:space="preserve">, </w:t>
            </w:r>
            <w:proofErr w:type="spellStart"/>
            <w:r w:rsidRPr="00E11ED1">
              <w:t>iprodione</w:t>
            </w:r>
            <w:proofErr w:type="spellEnd"/>
            <w:r w:rsidRPr="00E11ED1">
              <w:t xml:space="preserve">, </w:t>
            </w:r>
            <w:proofErr w:type="spellStart"/>
            <w:r w:rsidRPr="00E11ED1">
              <w:t>metaldehyde</w:t>
            </w:r>
            <w:proofErr w:type="spellEnd"/>
            <w:r w:rsidRPr="00E11ED1">
              <w:t xml:space="preserve">, metazachlor, paraffin oil (CAS 64742-54-7), petroleum oils (CAS 92062-35-6) and </w:t>
            </w:r>
            <w:proofErr w:type="spellStart"/>
            <w:r w:rsidRPr="00E11ED1">
              <w:t>propargite</w:t>
            </w:r>
            <w:proofErr w:type="spellEnd"/>
            <w:r w:rsidRPr="00E11ED1">
              <w:t xml:space="preserve"> in or on certain products" (Text with EEA relevance)" [OJ L 71, 14 March 2015, pp. 56-113]. The Regulation entered into force on 3 April 2015.</w:t>
            </w:r>
          </w:p>
          <w:p w:rsidR="00E11ED1" w:rsidRPr="00E11ED1" w:rsidRDefault="00E11ED1" w:rsidP="00E11ED1">
            <w:hyperlink r:id="rId9" w:history="1">
              <w:r w:rsidRPr="00E11ED1">
                <w:rPr>
                  <w:color w:val="0000FF"/>
                  <w:u w:val="single"/>
                </w:rPr>
                <w:t>http://members.wto.org/crnattachments/2015/SPS/EEC/15_1654_00_e.pdf</w:t>
              </w:r>
            </w:hyperlink>
          </w:p>
          <w:p w:rsidR="00E11ED1" w:rsidRPr="00E11ED1" w:rsidRDefault="00E11ED1" w:rsidP="00E11ED1">
            <w:hyperlink r:id="rId10" w:history="1">
              <w:r w:rsidRPr="00E11ED1">
                <w:rPr>
                  <w:color w:val="0000FF"/>
                  <w:u w:val="single"/>
                </w:rPr>
                <w:t>http://members.wto.org/crnattachments/2015/SPS/EEC/15_1654_00_f.pdf</w:t>
              </w:r>
            </w:hyperlink>
          </w:p>
          <w:p w:rsidR="00E11ED1" w:rsidRPr="00E11ED1" w:rsidRDefault="00E11ED1" w:rsidP="00E11ED1">
            <w:pPr>
              <w:spacing w:after="240"/>
            </w:pPr>
            <w:hyperlink r:id="rId11" w:history="1">
              <w:r w:rsidRPr="00E11ED1">
                <w:rPr>
                  <w:color w:val="0000FF"/>
                  <w:u w:val="single"/>
                </w:rPr>
                <w:t>http://members.wto.org/crnattachments/2015/SPS/EEC/15_1654_00_s.pdf</w:t>
              </w:r>
              <w:bookmarkEnd w:id="10"/>
            </w:hyperlink>
          </w:p>
        </w:tc>
      </w:tr>
      <w:tr w:rsidR="00E11ED1" w:rsidRPr="00E11ED1" w:rsidTr="00B14E87">
        <w:tc>
          <w:tcPr>
            <w:tcW w:w="9242" w:type="dxa"/>
          </w:tcPr>
          <w:p w:rsidR="00E11ED1" w:rsidRPr="00E11ED1" w:rsidRDefault="00E11ED1" w:rsidP="00E11ED1">
            <w:pPr>
              <w:spacing w:after="240"/>
              <w:rPr>
                <w:b/>
              </w:rPr>
            </w:pPr>
            <w:r w:rsidRPr="00E11ED1">
              <w:rPr>
                <w:b/>
              </w:rPr>
              <w:t>This addendum concerns a:</w:t>
            </w:r>
          </w:p>
        </w:tc>
      </w:tr>
      <w:tr w:rsidR="00E11ED1" w:rsidRPr="00E11ED1" w:rsidTr="00B14E87">
        <w:tc>
          <w:tcPr>
            <w:tcW w:w="9242" w:type="dxa"/>
          </w:tcPr>
          <w:p w:rsidR="00E11ED1" w:rsidRPr="00E11ED1" w:rsidRDefault="00E11ED1" w:rsidP="00E11ED1">
            <w:pPr>
              <w:ind w:left="1440" w:hanging="873"/>
            </w:pPr>
            <w:r w:rsidRPr="00E11ED1">
              <w:t>[</w:t>
            </w:r>
            <w:bookmarkStart w:id="11" w:name="spsModificationComment"/>
            <w:r w:rsidRPr="00E11ED1">
              <w:rPr>
                <w:b/>
              </w:rPr>
              <w:t xml:space="preserve"> </w:t>
            </w:r>
            <w:bookmarkEnd w:id="11"/>
            <w:r w:rsidRPr="00E11ED1">
              <w:t>]</w:t>
            </w:r>
            <w:r w:rsidRPr="00E11ED1">
              <w:tab/>
              <w:t>Modification of final date for comments</w:t>
            </w:r>
          </w:p>
        </w:tc>
      </w:tr>
      <w:tr w:rsidR="00E11ED1" w:rsidRPr="00E11ED1" w:rsidTr="00B14E87">
        <w:tc>
          <w:tcPr>
            <w:tcW w:w="9242" w:type="dxa"/>
          </w:tcPr>
          <w:p w:rsidR="00E11ED1" w:rsidRPr="00E11ED1" w:rsidRDefault="00E11ED1" w:rsidP="00E11ED1">
            <w:pPr>
              <w:ind w:left="1440" w:hanging="873"/>
            </w:pPr>
            <w:r w:rsidRPr="00E11ED1">
              <w:t>[</w:t>
            </w:r>
            <w:bookmarkStart w:id="12" w:name="spsNotification"/>
            <w:r w:rsidRPr="00E11ED1">
              <w:rPr>
                <w:b/>
              </w:rPr>
              <w:t>X</w:t>
            </w:r>
            <w:bookmarkEnd w:id="12"/>
            <w:r w:rsidRPr="00E11ED1">
              <w:t>]</w:t>
            </w:r>
            <w:r w:rsidRPr="00E11ED1">
              <w:tab/>
              <w:t>Notification of adoption, publication or entry into force of regulation</w:t>
            </w:r>
          </w:p>
        </w:tc>
      </w:tr>
      <w:tr w:rsidR="00E11ED1" w:rsidRPr="00E11ED1" w:rsidTr="00B14E87">
        <w:tc>
          <w:tcPr>
            <w:tcW w:w="9242" w:type="dxa"/>
          </w:tcPr>
          <w:p w:rsidR="00E11ED1" w:rsidRPr="00E11ED1" w:rsidRDefault="00E11ED1" w:rsidP="00E11ED1">
            <w:pPr>
              <w:ind w:left="1440" w:hanging="873"/>
            </w:pPr>
            <w:r w:rsidRPr="00E11ED1">
              <w:t>[</w:t>
            </w:r>
            <w:bookmarkStart w:id="13" w:name="spsModificationContent"/>
            <w:r w:rsidRPr="00E11ED1">
              <w:rPr>
                <w:b/>
              </w:rPr>
              <w:t xml:space="preserve"> </w:t>
            </w:r>
            <w:bookmarkEnd w:id="13"/>
            <w:r w:rsidRPr="00E11ED1">
              <w:t>]</w:t>
            </w:r>
            <w:r w:rsidRPr="00E11ED1">
              <w:tab/>
              <w:t>Modification of content and/or scope of previously notified draft regulation</w:t>
            </w:r>
          </w:p>
        </w:tc>
      </w:tr>
      <w:tr w:rsidR="00E11ED1" w:rsidRPr="00E11ED1" w:rsidTr="00B14E87">
        <w:tc>
          <w:tcPr>
            <w:tcW w:w="9242" w:type="dxa"/>
          </w:tcPr>
          <w:p w:rsidR="00E11ED1" w:rsidRPr="00E11ED1" w:rsidRDefault="00E11ED1" w:rsidP="00E11ED1">
            <w:pPr>
              <w:ind w:left="1440" w:hanging="873"/>
            </w:pPr>
            <w:r w:rsidRPr="00E11ED1">
              <w:t>[</w:t>
            </w:r>
            <w:bookmarkStart w:id="14" w:name="spsWithdraw"/>
            <w:r w:rsidRPr="00E11ED1">
              <w:rPr>
                <w:b/>
              </w:rPr>
              <w:t xml:space="preserve"> </w:t>
            </w:r>
            <w:bookmarkEnd w:id="14"/>
            <w:r w:rsidRPr="00E11ED1">
              <w:t>]</w:t>
            </w:r>
            <w:r w:rsidRPr="00E11ED1">
              <w:tab/>
              <w:t>Withdrawal of proposed regulation</w:t>
            </w:r>
          </w:p>
        </w:tc>
      </w:tr>
      <w:tr w:rsidR="00E11ED1" w:rsidRPr="00E11ED1" w:rsidTr="00B14E87">
        <w:tc>
          <w:tcPr>
            <w:tcW w:w="9242" w:type="dxa"/>
          </w:tcPr>
          <w:p w:rsidR="00E11ED1" w:rsidRPr="00E11ED1" w:rsidRDefault="00E11ED1" w:rsidP="00E11ED1">
            <w:pPr>
              <w:ind w:left="1440" w:hanging="873"/>
            </w:pPr>
            <w:r w:rsidRPr="00E11ED1">
              <w:t>[</w:t>
            </w:r>
            <w:bookmarkStart w:id="15" w:name="spsModificationDate"/>
            <w:r w:rsidRPr="00E11ED1">
              <w:rPr>
                <w:b/>
              </w:rPr>
              <w:t xml:space="preserve"> </w:t>
            </w:r>
            <w:bookmarkEnd w:id="15"/>
            <w:r w:rsidRPr="00E11ED1">
              <w:t>]</w:t>
            </w:r>
            <w:r w:rsidRPr="00E11ED1">
              <w:tab/>
              <w:t>Change in proposed date of adoption, publication or date of entry into force</w:t>
            </w:r>
          </w:p>
        </w:tc>
      </w:tr>
      <w:tr w:rsidR="00E11ED1" w:rsidRPr="00E11ED1" w:rsidTr="00B14E87">
        <w:tc>
          <w:tcPr>
            <w:tcW w:w="9242" w:type="dxa"/>
          </w:tcPr>
          <w:p w:rsidR="00E11ED1" w:rsidRPr="00E11ED1" w:rsidRDefault="00E11ED1" w:rsidP="00E11ED1">
            <w:pPr>
              <w:spacing w:after="240"/>
              <w:ind w:left="1440" w:hanging="873"/>
            </w:pPr>
            <w:r w:rsidRPr="00E11ED1">
              <w:t>[</w:t>
            </w:r>
            <w:bookmarkStart w:id="16" w:name="spsModificationOther"/>
            <w:r w:rsidRPr="00E11ED1">
              <w:rPr>
                <w:b/>
              </w:rPr>
              <w:t xml:space="preserve"> </w:t>
            </w:r>
            <w:bookmarkEnd w:id="16"/>
            <w:r w:rsidRPr="00E11ED1">
              <w:t>]</w:t>
            </w:r>
            <w:r w:rsidRPr="00E11ED1">
              <w:tab/>
              <w:t xml:space="preserve">Other: </w:t>
            </w:r>
            <w:bookmarkStart w:id="17" w:name="spsModificationOtherText"/>
            <w:r w:rsidRPr="00E11ED1">
              <w:t xml:space="preserve"> </w:t>
            </w:r>
            <w:bookmarkEnd w:id="17"/>
          </w:p>
        </w:tc>
      </w:tr>
      <w:tr w:rsidR="00E11ED1" w:rsidRPr="00E11ED1" w:rsidTr="00B14E87">
        <w:tc>
          <w:tcPr>
            <w:tcW w:w="9242" w:type="dxa"/>
          </w:tcPr>
          <w:p w:rsidR="00E11ED1" w:rsidRPr="00E11ED1" w:rsidRDefault="00E11ED1" w:rsidP="00E11ED1">
            <w:pPr>
              <w:spacing w:after="240"/>
              <w:rPr>
                <w:b/>
              </w:rPr>
            </w:pPr>
            <w:bookmarkStart w:id="18" w:name="spsComment"/>
            <w:r w:rsidRPr="00E11ED1">
              <w:rPr>
                <w:b/>
              </w:rPr>
              <w:t xml:space="preserve">Comment period: </w:t>
            </w:r>
            <w:r w:rsidRPr="00E11ED1">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8"/>
          </w:p>
        </w:tc>
      </w:tr>
      <w:tr w:rsidR="00E11ED1" w:rsidRPr="00E11ED1" w:rsidTr="00B14E87">
        <w:tc>
          <w:tcPr>
            <w:tcW w:w="9242" w:type="dxa"/>
          </w:tcPr>
          <w:p w:rsidR="00E11ED1" w:rsidRPr="00E11ED1" w:rsidRDefault="00E11ED1" w:rsidP="00E11ED1">
            <w:pPr>
              <w:spacing w:after="240"/>
              <w:ind w:left="1440" w:hanging="873"/>
            </w:pPr>
            <w:r w:rsidRPr="00E11ED1">
              <w:t>[</w:t>
            </w:r>
            <w:bookmarkStart w:id="19" w:name="spsSixtyDayCirculation"/>
            <w:r w:rsidRPr="00E11ED1">
              <w:rPr>
                <w:b/>
              </w:rPr>
              <w:t xml:space="preserve"> </w:t>
            </w:r>
            <w:bookmarkEnd w:id="19"/>
            <w:r w:rsidRPr="00E11ED1">
              <w:t>]</w:t>
            </w:r>
            <w:r w:rsidRPr="00E11ED1">
              <w:tab/>
              <w:t xml:space="preserve">Sixty days from the date of circulation of the addendum to the notification and/or </w:t>
            </w:r>
            <w:r w:rsidRPr="00E11ED1">
              <w:rPr>
                <w:i/>
              </w:rPr>
              <w:t>(</w:t>
            </w:r>
            <w:proofErr w:type="spellStart"/>
            <w:r w:rsidRPr="00E11ED1">
              <w:rPr>
                <w:i/>
              </w:rPr>
              <w:t>dd</w:t>
            </w:r>
            <w:proofErr w:type="spellEnd"/>
            <w:r w:rsidRPr="00E11ED1">
              <w:rPr>
                <w:i/>
              </w:rPr>
              <w:t>/mm/</w:t>
            </w:r>
            <w:proofErr w:type="spellStart"/>
            <w:r w:rsidRPr="00E11ED1">
              <w:rPr>
                <w:i/>
              </w:rPr>
              <w:t>yy</w:t>
            </w:r>
            <w:proofErr w:type="spellEnd"/>
            <w:r w:rsidRPr="00E11ED1">
              <w:rPr>
                <w:i/>
              </w:rPr>
              <w:t>)</w:t>
            </w:r>
            <w:r w:rsidRPr="00E11ED1">
              <w:t xml:space="preserve">: </w:t>
            </w:r>
            <w:bookmarkStart w:id="20" w:name="spsDateComment"/>
            <w:r w:rsidRPr="00E11ED1">
              <w:t>Not applicable</w:t>
            </w:r>
            <w:bookmarkEnd w:id="20"/>
          </w:p>
        </w:tc>
      </w:tr>
      <w:tr w:rsidR="00E11ED1" w:rsidRPr="00E11ED1" w:rsidTr="00B14E87">
        <w:tc>
          <w:tcPr>
            <w:tcW w:w="9242" w:type="dxa"/>
          </w:tcPr>
          <w:p w:rsidR="00E11ED1" w:rsidRPr="00E11ED1" w:rsidRDefault="00E11ED1" w:rsidP="00E11ED1">
            <w:pPr>
              <w:keepNext/>
              <w:spacing w:after="240"/>
              <w:rPr>
                <w:b/>
              </w:rPr>
            </w:pPr>
            <w:r w:rsidRPr="00E11ED1">
              <w:rPr>
                <w:b/>
              </w:rPr>
              <w:lastRenderedPageBreak/>
              <w:t>Agency or authority designated to handle comments: [</w:t>
            </w:r>
            <w:bookmarkStart w:id="21" w:name="spsCommentNNA"/>
            <w:r w:rsidRPr="00E11ED1">
              <w:rPr>
                <w:b/>
              </w:rPr>
              <w:t>X</w:t>
            </w:r>
            <w:bookmarkEnd w:id="21"/>
            <w:r w:rsidRPr="00E11ED1">
              <w:rPr>
                <w:b/>
              </w:rPr>
              <w:t>] National Notification Authority, [</w:t>
            </w:r>
            <w:bookmarkStart w:id="22" w:name="spsCommentNEP"/>
            <w:r w:rsidRPr="00E11ED1">
              <w:rPr>
                <w:b/>
              </w:rPr>
              <w:t>X</w:t>
            </w:r>
            <w:bookmarkEnd w:id="22"/>
            <w:r w:rsidRPr="00E11ED1">
              <w:rPr>
                <w:b/>
              </w:rPr>
              <w:t>] National Enquiry Point. Address, fax number and e-mail address (if available) of other body:</w:t>
            </w:r>
          </w:p>
        </w:tc>
      </w:tr>
      <w:tr w:rsidR="00E11ED1" w:rsidRPr="00E11ED1" w:rsidTr="00B14E87">
        <w:tc>
          <w:tcPr>
            <w:tcW w:w="9242" w:type="dxa"/>
          </w:tcPr>
          <w:p w:rsidR="00E11ED1" w:rsidRPr="00E11ED1" w:rsidRDefault="00E11ED1" w:rsidP="00E11ED1">
            <w:pPr>
              <w:keepNext/>
            </w:pPr>
            <w:bookmarkStart w:id="23" w:name="spsCommentAddress"/>
            <w:r w:rsidRPr="00E11ED1">
              <w:t>European Commission</w:t>
            </w:r>
          </w:p>
          <w:p w:rsidR="00E11ED1" w:rsidRPr="00E11ED1" w:rsidRDefault="00E11ED1" w:rsidP="00E11ED1">
            <w:pPr>
              <w:keepNext/>
            </w:pPr>
            <w:r w:rsidRPr="00E11ED1">
              <w:t>DG Health and Food Safety, Unit G6-Multilateral International Relations</w:t>
            </w:r>
          </w:p>
          <w:p w:rsidR="00E11ED1" w:rsidRPr="00E11ED1" w:rsidRDefault="00E11ED1" w:rsidP="00E11ED1">
            <w:pPr>
              <w:keepNext/>
              <w:rPr>
                <w:lang w:val="fr-CH"/>
              </w:rPr>
            </w:pPr>
            <w:r w:rsidRPr="00E11ED1">
              <w:rPr>
                <w:lang w:val="fr-CH"/>
              </w:rPr>
              <w:t>Rue Froissart 101, B-1049 Brussels</w:t>
            </w:r>
          </w:p>
          <w:p w:rsidR="00E11ED1" w:rsidRPr="00E11ED1" w:rsidRDefault="00E11ED1" w:rsidP="00E11ED1">
            <w:pPr>
              <w:keepNext/>
              <w:rPr>
                <w:lang w:val="fr-CH"/>
              </w:rPr>
            </w:pPr>
            <w:r w:rsidRPr="00E11ED1">
              <w:rPr>
                <w:lang w:val="fr-CH"/>
              </w:rPr>
              <w:t>Tel: +(32 2) 295 42 63</w:t>
            </w:r>
          </w:p>
          <w:p w:rsidR="00E11ED1" w:rsidRPr="00E11ED1" w:rsidRDefault="00E11ED1" w:rsidP="00E11ED1">
            <w:pPr>
              <w:keepNext/>
              <w:rPr>
                <w:lang w:val="fr-CH"/>
              </w:rPr>
            </w:pPr>
            <w:r w:rsidRPr="00E11ED1">
              <w:rPr>
                <w:lang w:val="fr-CH"/>
              </w:rPr>
              <w:t>Fax: +32 2) 299 80 90</w:t>
            </w:r>
          </w:p>
          <w:p w:rsidR="00E11ED1" w:rsidRPr="00E11ED1" w:rsidRDefault="00E11ED1" w:rsidP="00E11ED1">
            <w:pPr>
              <w:keepNext/>
              <w:spacing w:after="240"/>
              <w:rPr>
                <w:lang w:val="fr-CH"/>
              </w:rPr>
            </w:pPr>
            <w:r w:rsidRPr="00E11ED1">
              <w:rPr>
                <w:lang w:val="fr-CH"/>
              </w:rPr>
              <w:t>E-mail: sps@ec.europa.eu</w:t>
            </w:r>
            <w:bookmarkEnd w:id="23"/>
            <w:r w:rsidRPr="00E11ED1">
              <w:rPr>
                <w:lang w:val="fr-CH"/>
              </w:rPr>
              <w:t xml:space="preserve"> </w:t>
            </w:r>
          </w:p>
        </w:tc>
      </w:tr>
      <w:tr w:rsidR="00E11ED1" w:rsidRPr="00E11ED1" w:rsidTr="00B14E87">
        <w:tc>
          <w:tcPr>
            <w:tcW w:w="9242" w:type="dxa"/>
          </w:tcPr>
          <w:p w:rsidR="00E11ED1" w:rsidRPr="00E11ED1" w:rsidRDefault="00E11ED1" w:rsidP="00E11ED1">
            <w:pPr>
              <w:spacing w:after="240"/>
              <w:rPr>
                <w:b/>
              </w:rPr>
            </w:pPr>
            <w:r w:rsidRPr="00E11ED1">
              <w:rPr>
                <w:b/>
              </w:rPr>
              <w:t>Text(s) available from: [</w:t>
            </w:r>
            <w:bookmarkStart w:id="24" w:name="spsTextAvailableNNA"/>
            <w:r w:rsidRPr="00E11ED1">
              <w:rPr>
                <w:b/>
              </w:rPr>
              <w:t>X</w:t>
            </w:r>
            <w:bookmarkEnd w:id="24"/>
            <w:r w:rsidRPr="00E11ED1">
              <w:rPr>
                <w:b/>
              </w:rPr>
              <w:t>] National Notification Authority, [</w:t>
            </w:r>
            <w:bookmarkStart w:id="25" w:name="spsTextAvailableNEP"/>
            <w:r w:rsidRPr="00E11ED1">
              <w:rPr>
                <w:b/>
              </w:rPr>
              <w:t>X</w:t>
            </w:r>
            <w:bookmarkEnd w:id="25"/>
            <w:r w:rsidRPr="00E11ED1">
              <w:rPr>
                <w:b/>
              </w:rPr>
              <w:t>] National Enquiry Point. Address, fax number and e-mail address (if available) of other body:</w:t>
            </w:r>
          </w:p>
        </w:tc>
      </w:tr>
      <w:tr w:rsidR="00E11ED1" w:rsidRPr="00E11ED1" w:rsidTr="00B14E87">
        <w:tc>
          <w:tcPr>
            <w:tcW w:w="9242" w:type="dxa"/>
          </w:tcPr>
          <w:p w:rsidR="00E11ED1" w:rsidRPr="00E11ED1" w:rsidRDefault="00E11ED1" w:rsidP="00E11ED1">
            <w:pPr>
              <w:keepNext/>
            </w:pPr>
            <w:bookmarkStart w:id="26" w:name="spsTextSupplierAddress"/>
            <w:r w:rsidRPr="00E11ED1">
              <w:t>European Commission</w:t>
            </w:r>
          </w:p>
          <w:p w:rsidR="00E11ED1" w:rsidRPr="00E11ED1" w:rsidRDefault="00E11ED1" w:rsidP="00E11ED1">
            <w:pPr>
              <w:keepNext/>
            </w:pPr>
            <w:r w:rsidRPr="00E11ED1">
              <w:t>DG Health and Food Safety, Unit G6-Multilateral International Relations</w:t>
            </w:r>
          </w:p>
          <w:p w:rsidR="00E11ED1" w:rsidRPr="00E11ED1" w:rsidRDefault="00E11ED1" w:rsidP="00E11ED1">
            <w:pPr>
              <w:keepNext/>
              <w:rPr>
                <w:lang w:val="fr-CH"/>
              </w:rPr>
            </w:pPr>
            <w:r w:rsidRPr="00E11ED1">
              <w:rPr>
                <w:lang w:val="fr-CH"/>
              </w:rPr>
              <w:t>Rue Froissart 101, B-1049 Brussels</w:t>
            </w:r>
          </w:p>
          <w:p w:rsidR="00E11ED1" w:rsidRPr="00E11ED1" w:rsidRDefault="00E11ED1" w:rsidP="00E11ED1">
            <w:pPr>
              <w:keepNext/>
              <w:rPr>
                <w:lang w:val="fr-CH"/>
              </w:rPr>
            </w:pPr>
            <w:r w:rsidRPr="00E11ED1">
              <w:rPr>
                <w:lang w:val="fr-CH"/>
              </w:rPr>
              <w:t>Tel: +(32 2) 295 42 63</w:t>
            </w:r>
          </w:p>
          <w:p w:rsidR="00E11ED1" w:rsidRPr="00E11ED1" w:rsidRDefault="00E11ED1" w:rsidP="00E11ED1">
            <w:pPr>
              <w:keepNext/>
              <w:rPr>
                <w:lang w:val="fr-CH"/>
              </w:rPr>
            </w:pPr>
            <w:r w:rsidRPr="00E11ED1">
              <w:rPr>
                <w:lang w:val="fr-CH"/>
              </w:rPr>
              <w:t>Fax: +32 2) 299 80 90</w:t>
            </w:r>
          </w:p>
          <w:p w:rsidR="00E11ED1" w:rsidRPr="00E11ED1" w:rsidRDefault="00E11ED1" w:rsidP="00E11ED1">
            <w:pPr>
              <w:spacing w:after="240"/>
              <w:rPr>
                <w:lang w:val="fr-CH"/>
              </w:rPr>
            </w:pPr>
            <w:r w:rsidRPr="00E11ED1">
              <w:rPr>
                <w:lang w:val="fr-CH"/>
              </w:rPr>
              <w:t>E-mail: sps@ec.europa.eu</w:t>
            </w:r>
            <w:bookmarkEnd w:id="26"/>
            <w:r w:rsidRPr="00E11ED1">
              <w:rPr>
                <w:lang w:val="fr-CH"/>
              </w:rPr>
              <w:t xml:space="preserve"> </w:t>
            </w:r>
          </w:p>
        </w:tc>
      </w:tr>
    </w:tbl>
    <w:p w:rsidR="00E11ED1" w:rsidRDefault="00E11ED1" w:rsidP="00E11ED1">
      <w:pPr>
        <w:rPr>
          <w:lang w:val="fr-CH"/>
        </w:rPr>
      </w:pPr>
    </w:p>
    <w:p w:rsidR="00E11ED1" w:rsidRDefault="00E11ED1">
      <w:pPr>
        <w:jc w:val="left"/>
        <w:rPr>
          <w:lang w:val="fr-CH"/>
        </w:rPr>
      </w:pPr>
      <w:r>
        <w:rPr>
          <w:lang w:val="fr-CH"/>
        </w:rPr>
        <w:br w:type="page"/>
      </w:r>
    </w:p>
    <w:tbl>
      <w:tblPr>
        <w:tblW w:w="8897" w:type="dxa"/>
        <w:jc w:val="center"/>
        <w:tblLook w:val="04A0" w:firstRow="1" w:lastRow="0" w:firstColumn="1" w:lastColumn="0" w:noHBand="0" w:noVBand="1"/>
      </w:tblPr>
      <w:tblGrid>
        <w:gridCol w:w="9243"/>
      </w:tblGrid>
      <w:tr w:rsidR="00E11ED1" w:rsidRPr="00E11ED1" w:rsidTr="00B14E87">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gridCol w:w="2870"/>
            </w:tblGrid>
            <w:tr w:rsidR="00E11ED1" w:rsidRPr="00E11ED1" w:rsidTr="00B14E87">
              <w:trPr>
                <w:trHeight w:val="472"/>
                <w:jc w:val="center"/>
              </w:trPr>
              <w:tc>
                <w:tcPr>
                  <w:tcW w:w="6160" w:type="dxa"/>
                </w:tcPr>
                <w:p w:rsidR="00E11ED1" w:rsidRPr="00E11ED1" w:rsidRDefault="00E11ED1" w:rsidP="00E11ED1">
                  <w:pPr>
                    <w:tabs>
                      <w:tab w:val="left" w:pos="720"/>
                    </w:tabs>
                    <w:snapToGrid w:val="0"/>
                    <w:rPr>
                      <w:rFonts w:ascii="Times New Roman" w:hAnsi="Times New Roman"/>
                      <w:bCs/>
                      <w:caps/>
                      <w:smallCaps/>
                      <w:color w:val="000000"/>
                      <w:kern w:val="28"/>
                      <w:sz w:val="21"/>
                      <w:szCs w:val="21"/>
                    </w:rPr>
                  </w:pPr>
                  <w:r w:rsidRPr="00E11ED1">
                    <w:rPr>
                      <w:rFonts w:ascii="宋体" w:hAnsi="宋体"/>
                      <w:b/>
                      <w:bCs/>
                      <w:caps/>
                      <w:color w:val="000000"/>
                      <w:kern w:val="28"/>
                      <w:sz w:val="28"/>
                      <w:szCs w:val="28"/>
                      <w:lang w:eastAsia="zh-CN"/>
                    </w:rPr>
                    <w:lastRenderedPageBreak/>
                    <w:t>世界贸易组织</w:t>
                  </w:r>
                </w:p>
              </w:tc>
              <w:tc>
                <w:tcPr>
                  <w:tcW w:w="2870" w:type="dxa"/>
                </w:tcPr>
                <w:p w:rsidR="00E11ED1" w:rsidRPr="00E11ED1" w:rsidRDefault="00E11ED1" w:rsidP="00E11ED1">
                  <w:pPr>
                    <w:tabs>
                      <w:tab w:val="left" w:pos="720"/>
                    </w:tabs>
                    <w:spacing w:line="240" w:lineRule="exact"/>
                    <w:jc w:val="left"/>
                    <w:rPr>
                      <w:rFonts w:ascii="Times New Roman" w:hAnsi="Times New Roman"/>
                      <w:color w:val="808080"/>
                      <w:sz w:val="22"/>
                      <w:szCs w:val="20"/>
                    </w:rPr>
                  </w:pPr>
                  <w:r w:rsidRPr="00E11ED1">
                    <w:rPr>
                      <w:rFonts w:ascii="Times New Roman" w:hAnsi="Times New Roman"/>
                      <w:b/>
                      <w:sz w:val="22"/>
                      <w:szCs w:val="21"/>
                    </w:rPr>
                    <w:t>G/SPS/N/EU/84/Add.1</w:t>
                  </w:r>
                </w:p>
                <w:p w:rsidR="00E11ED1" w:rsidRPr="00E11ED1" w:rsidRDefault="00E11ED1" w:rsidP="00E11ED1">
                  <w:pPr>
                    <w:tabs>
                      <w:tab w:val="left" w:pos="720"/>
                    </w:tabs>
                    <w:spacing w:line="240" w:lineRule="exact"/>
                    <w:jc w:val="left"/>
                    <w:rPr>
                      <w:rFonts w:ascii="Times New Roman" w:hAnsi="Times New Roman"/>
                      <w:b/>
                      <w:sz w:val="22"/>
                      <w:szCs w:val="21"/>
                    </w:rPr>
                  </w:pPr>
                  <w:proofErr w:type="spellStart"/>
                  <w:r w:rsidRPr="00E11ED1">
                    <w:rPr>
                      <w:rFonts w:ascii="Times New Roman" w:hAnsi="Times New Roman"/>
                      <w:b/>
                      <w:sz w:val="22"/>
                      <w:szCs w:val="21"/>
                    </w:rPr>
                    <w:t>分发日期</w:t>
                  </w:r>
                  <w:proofErr w:type="spellEnd"/>
                  <w:r w:rsidRPr="00E11ED1">
                    <w:rPr>
                      <w:rFonts w:ascii="Times New Roman" w:hAnsi="Times New Roman"/>
                      <w:b/>
                      <w:sz w:val="22"/>
                      <w:szCs w:val="21"/>
                    </w:rPr>
                    <w:t>：</w:t>
                  </w:r>
                  <w:r w:rsidRPr="00E11ED1">
                    <w:rPr>
                      <w:rFonts w:ascii="Times New Roman" w:hAnsi="宋体"/>
                      <w:color w:val="808080"/>
                      <w:sz w:val="22"/>
                      <w:szCs w:val="20"/>
                    </w:rPr>
                    <w:t>2015-04-21</w:t>
                  </w:r>
                </w:p>
                <w:p w:rsidR="00E11ED1" w:rsidRPr="00E11ED1" w:rsidRDefault="00E11ED1" w:rsidP="00E11ED1">
                  <w:pPr>
                    <w:tabs>
                      <w:tab w:val="left" w:pos="720"/>
                    </w:tabs>
                    <w:adjustRightInd w:val="0"/>
                    <w:snapToGrid w:val="0"/>
                    <w:jc w:val="left"/>
                    <w:rPr>
                      <w:rFonts w:ascii="Times New Roman" w:hAnsi="Times New Roman"/>
                      <w:sz w:val="21"/>
                      <w:szCs w:val="21"/>
                      <w:u w:val="single"/>
                      <w:lang w:eastAsia="zh-CN"/>
                    </w:rPr>
                  </w:pPr>
                  <w:r w:rsidRPr="00E11ED1">
                    <w:rPr>
                      <w:rFonts w:ascii="Times New Roman" w:hAnsi="Times New Roman"/>
                      <w:sz w:val="22"/>
                      <w:szCs w:val="21"/>
                    </w:rPr>
                    <w:t>(15-2100)</w:t>
                  </w:r>
                </w:p>
              </w:tc>
            </w:tr>
            <w:tr w:rsidR="00E11ED1" w:rsidRPr="00E11ED1" w:rsidTr="00B14E87">
              <w:trPr>
                <w:trHeight w:val="108"/>
                <w:jc w:val="center"/>
              </w:trPr>
              <w:tc>
                <w:tcPr>
                  <w:tcW w:w="6160" w:type="dxa"/>
                </w:tcPr>
                <w:p w:rsidR="00E11ED1" w:rsidRPr="00E11ED1" w:rsidRDefault="00E11ED1" w:rsidP="00E11ED1">
                  <w:pPr>
                    <w:tabs>
                      <w:tab w:val="left" w:pos="720"/>
                    </w:tabs>
                    <w:snapToGrid w:val="0"/>
                    <w:jc w:val="left"/>
                    <w:rPr>
                      <w:rFonts w:ascii="宋体" w:hAnsi="宋体"/>
                      <w:bCs/>
                      <w:color w:val="000000"/>
                      <w:sz w:val="21"/>
                      <w:szCs w:val="21"/>
                      <w:lang w:eastAsia="zh-CN"/>
                    </w:rPr>
                  </w:pPr>
                  <w:r w:rsidRPr="00E11ED1">
                    <w:rPr>
                      <w:rFonts w:ascii="宋体" w:hAnsi="宋体" w:hint="eastAsia"/>
                      <w:bCs/>
                      <w:color w:val="000000"/>
                      <w:sz w:val="21"/>
                      <w:szCs w:val="21"/>
                      <w:lang w:eastAsia="zh-CN"/>
                    </w:rPr>
                    <w:t>卫生及植物卫生措施委员会</w:t>
                  </w:r>
                </w:p>
              </w:tc>
              <w:tc>
                <w:tcPr>
                  <w:tcW w:w="2870" w:type="dxa"/>
                </w:tcPr>
                <w:p w:rsidR="00E11ED1" w:rsidRPr="00E11ED1" w:rsidRDefault="00E11ED1" w:rsidP="00E11ED1">
                  <w:pPr>
                    <w:tabs>
                      <w:tab w:val="left" w:pos="720"/>
                      <w:tab w:val="left" w:pos="962"/>
                    </w:tabs>
                    <w:snapToGrid w:val="0"/>
                    <w:jc w:val="left"/>
                    <w:rPr>
                      <w:rFonts w:ascii="宋体" w:hAnsi="宋体"/>
                      <w:sz w:val="21"/>
                      <w:szCs w:val="21"/>
                      <w:lang w:eastAsia="zh-CN"/>
                    </w:rPr>
                  </w:pPr>
                  <w:r w:rsidRPr="00E11ED1">
                    <w:rPr>
                      <w:rFonts w:ascii="宋体" w:hAnsi="宋体" w:hint="eastAsia"/>
                      <w:bCs/>
                      <w:sz w:val="21"/>
                      <w:szCs w:val="21"/>
                      <w:lang w:eastAsia="zh-CN"/>
                    </w:rPr>
                    <w:t>原文</w:t>
                  </w:r>
                  <w:r w:rsidRPr="00E11ED1">
                    <w:rPr>
                      <w:rFonts w:ascii="宋体" w:hAnsi="宋体"/>
                      <w:bCs/>
                      <w:sz w:val="21"/>
                      <w:szCs w:val="21"/>
                      <w:lang w:eastAsia="zh-CN"/>
                    </w:rPr>
                    <w:t>:</w:t>
                  </w:r>
                  <w:r w:rsidRPr="00E11ED1">
                    <w:rPr>
                      <w:rFonts w:ascii="宋体" w:hAnsi="宋体" w:hint="eastAsia"/>
                      <w:bCs/>
                      <w:sz w:val="21"/>
                      <w:szCs w:val="21"/>
                      <w:lang w:eastAsia="zh-CN"/>
                    </w:rPr>
                    <w:t xml:space="preserve"> </w:t>
                  </w:r>
                  <w:r w:rsidRPr="00E11ED1">
                    <w:rPr>
                      <w:rFonts w:ascii="Times New Roman" w:hAnsi="Times New Roman" w:hint="eastAsia"/>
                      <w:color w:val="808080"/>
                      <w:sz w:val="22"/>
                      <w:szCs w:val="20"/>
                      <w:lang w:eastAsia="zh-CN"/>
                    </w:rPr>
                    <w:t>英文</w:t>
                  </w:r>
                  <w:r w:rsidRPr="00E11ED1">
                    <w:rPr>
                      <w:rFonts w:ascii="宋体" w:hAnsi="宋体" w:hint="eastAsia"/>
                      <w:bCs/>
                      <w:sz w:val="21"/>
                      <w:szCs w:val="21"/>
                      <w:lang w:eastAsia="zh-CN"/>
                    </w:rPr>
                    <w:t xml:space="preserve"> </w:t>
                  </w:r>
                </w:p>
              </w:tc>
            </w:tr>
          </w:tbl>
          <w:p w:rsidR="00E11ED1" w:rsidRPr="00E11ED1" w:rsidRDefault="00E11ED1" w:rsidP="00E11ED1">
            <w:pPr>
              <w:tabs>
                <w:tab w:val="left" w:pos="0"/>
                <w:tab w:val="left" w:pos="720"/>
              </w:tabs>
              <w:suppressAutoHyphens/>
              <w:adjustRightInd w:val="0"/>
              <w:snapToGrid w:val="0"/>
              <w:spacing w:line="400" w:lineRule="exact"/>
              <w:jc w:val="left"/>
              <w:rPr>
                <w:rFonts w:ascii="宋体" w:hAnsi="宋体"/>
                <w:color w:val="000000"/>
                <w:spacing w:val="-2"/>
                <w:sz w:val="21"/>
                <w:szCs w:val="21"/>
                <w:lang w:eastAsia="zh-CN"/>
              </w:rPr>
            </w:pPr>
            <w:r w:rsidRPr="00E11ED1">
              <w:rPr>
                <w:rFonts w:ascii="宋体" w:hAnsi="宋体" w:hint="eastAsia"/>
                <w:color w:val="000000"/>
                <w:spacing w:val="-2"/>
                <w:sz w:val="21"/>
                <w:szCs w:val="21"/>
                <w:lang w:eastAsia="zh-CN"/>
              </w:rPr>
              <w:t xml:space="preserve">   </w:t>
            </w:r>
          </w:p>
          <w:p w:rsidR="00E11ED1" w:rsidRPr="00E11ED1" w:rsidRDefault="00E11ED1" w:rsidP="00E11ED1">
            <w:pPr>
              <w:tabs>
                <w:tab w:val="left" w:pos="720"/>
              </w:tabs>
              <w:spacing w:line="400" w:lineRule="exact"/>
              <w:jc w:val="center"/>
              <w:rPr>
                <w:rFonts w:ascii="宋体" w:hAnsi="宋体"/>
                <w:b/>
                <w:bCs/>
                <w:caps/>
                <w:color w:val="000000"/>
                <w:kern w:val="28"/>
                <w:sz w:val="28"/>
                <w:szCs w:val="28"/>
                <w:lang w:eastAsia="zh-CN"/>
              </w:rPr>
            </w:pPr>
            <w:r w:rsidRPr="00E11ED1">
              <w:rPr>
                <w:rFonts w:ascii="宋体" w:hAnsi="宋体" w:hint="eastAsia"/>
                <w:b/>
                <w:bCs/>
                <w:caps/>
                <w:color w:val="000000"/>
                <w:kern w:val="28"/>
                <w:sz w:val="28"/>
                <w:szCs w:val="28"/>
                <w:lang w:eastAsia="zh-CN"/>
              </w:rPr>
              <w:t>通  报</w:t>
            </w:r>
          </w:p>
          <w:p w:rsidR="00E11ED1" w:rsidRPr="00E11ED1" w:rsidRDefault="00E11ED1" w:rsidP="00E11ED1">
            <w:pPr>
              <w:tabs>
                <w:tab w:val="left" w:pos="720"/>
              </w:tabs>
              <w:spacing w:line="400" w:lineRule="exact"/>
              <w:jc w:val="center"/>
              <w:rPr>
                <w:rFonts w:ascii="Times New Roman" w:hAnsi="Times New Roman"/>
                <w:bCs/>
                <w:color w:val="000000"/>
                <w:sz w:val="21"/>
                <w:szCs w:val="21"/>
                <w:lang w:eastAsia="zh-CN"/>
              </w:rPr>
            </w:pPr>
            <w:r w:rsidRPr="00E11ED1">
              <w:rPr>
                <w:rFonts w:ascii="Times New Roman" w:hAnsi="宋体"/>
                <w:bCs/>
                <w:color w:val="000000"/>
                <w:sz w:val="21"/>
                <w:szCs w:val="21"/>
                <w:u w:val="single"/>
                <w:lang w:eastAsia="zh-CN"/>
              </w:rPr>
              <w:t>补遗</w:t>
            </w:r>
          </w:p>
          <w:p w:rsidR="00E11ED1" w:rsidRPr="00E11ED1" w:rsidRDefault="00E11ED1" w:rsidP="00E11ED1">
            <w:pPr>
              <w:tabs>
                <w:tab w:val="left" w:pos="720"/>
              </w:tabs>
              <w:adjustRightInd w:val="0"/>
              <w:snapToGrid w:val="0"/>
              <w:ind w:firstLineChars="200" w:firstLine="422"/>
              <w:jc w:val="left"/>
              <w:rPr>
                <w:rFonts w:ascii="Times New Roman" w:hAnsi="宋体"/>
                <w:b/>
                <w:snapToGrid w:val="0"/>
                <w:color w:val="000000"/>
                <w:sz w:val="21"/>
                <w:szCs w:val="21"/>
                <w:lang w:eastAsia="zh-CN"/>
              </w:rPr>
            </w:pPr>
            <w:r w:rsidRPr="00E11ED1">
              <w:rPr>
                <w:rFonts w:ascii="Times New Roman" w:hAnsi="宋体"/>
                <w:b/>
                <w:snapToGrid w:val="0"/>
                <w:color w:val="000000"/>
                <w:sz w:val="21"/>
                <w:szCs w:val="21"/>
                <w:lang w:eastAsia="zh-CN"/>
              </w:rPr>
              <w:t>应</w:t>
            </w:r>
            <w:r w:rsidRPr="00E11ED1">
              <w:rPr>
                <w:rFonts w:ascii="Times New Roman" w:hAnsi="Times New Roman" w:hint="eastAsia"/>
                <w:b/>
                <w:snapToGrid w:val="0"/>
                <w:color w:val="000000"/>
                <w:sz w:val="21"/>
                <w:szCs w:val="21"/>
                <w:lang w:eastAsia="zh-CN"/>
              </w:rPr>
              <w:t>欧盟</w:t>
            </w:r>
            <w:r w:rsidRPr="00E11ED1">
              <w:rPr>
                <w:rFonts w:ascii="Times New Roman" w:hAnsi="宋体"/>
                <w:b/>
                <w:snapToGrid w:val="0"/>
                <w:color w:val="000000"/>
                <w:sz w:val="21"/>
                <w:szCs w:val="21"/>
                <w:lang w:eastAsia="zh-CN"/>
              </w:rPr>
              <w:t>代表团的要求，发送</w:t>
            </w:r>
            <w:r w:rsidRPr="00E11ED1">
              <w:rPr>
                <w:rFonts w:ascii="Times New Roman" w:hAnsi="宋体"/>
                <w:b/>
                <w:snapToGrid w:val="0"/>
                <w:color w:val="000000"/>
                <w:sz w:val="21"/>
                <w:szCs w:val="21"/>
                <w:lang w:eastAsia="zh-CN"/>
              </w:rPr>
              <w:t>2015-04-17</w:t>
            </w:r>
            <w:r w:rsidRPr="00E11ED1">
              <w:rPr>
                <w:rFonts w:ascii="Times New Roman" w:hAnsi="宋体"/>
                <w:b/>
                <w:snapToGrid w:val="0"/>
                <w:color w:val="000000"/>
                <w:sz w:val="21"/>
                <w:szCs w:val="21"/>
                <w:lang w:eastAsia="zh-CN"/>
              </w:rPr>
              <w:t>如下信息：</w:t>
            </w:r>
          </w:p>
          <w:p w:rsidR="00E11ED1" w:rsidRPr="00E11ED1" w:rsidRDefault="00E11ED1" w:rsidP="00E11ED1">
            <w:pPr>
              <w:tabs>
                <w:tab w:val="left" w:pos="720"/>
              </w:tabs>
              <w:adjustRightInd w:val="0"/>
              <w:snapToGrid w:val="0"/>
              <w:ind w:firstLineChars="200" w:firstLine="420"/>
              <w:jc w:val="left"/>
              <w:rPr>
                <w:rFonts w:ascii="Times New Roman" w:hAnsi="宋体"/>
                <w:snapToGrid w:val="0"/>
                <w:sz w:val="21"/>
                <w:szCs w:val="21"/>
                <w:u w:val="single"/>
                <w:lang w:val="en-US" w:eastAsia="zh-CN"/>
              </w:rPr>
            </w:pPr>
            <w:proofErr w:type="spellStart"/>
            <w:r w:rsidRPr="00E11ED1">
              <w:rPr>
                <w:rFonts w:ascii="Times New Roman" w:hAnsi="Times New Roman"/>
                <w:sz w:val="21"/>
                <w:szCs w:val="21"/>
                <w:u w:val="single"/>
              </w:rPr>
              <w:t>某些产品内</w:t>
            </w:r>
            <w:proofErr w:type="spellEnd"/>
            <w:r w:rsidRPr="00E11ED1">
              <w:rPr>
                <w:rFonts w:ascii="Times New Roman" w:hAnsi="Times New Roman"/>
                <w:sz w:val="21"/>
                <w:szCs w:val="21"/>
                <w:u w:val="single"/>
              </w:rPr>
              <w:t>/</w:t>
            </w:r>
            <w:proofErr w:type="spellStart"/>
            <w:r w:rsidRPr="00E11ED1">
              <w:rPr>
                <w:rFonts w:ascii="Times New Roman" w:hAnsi="Times New Roman"/>
                <w:sz w:val="21"/>
                <w:szCs w:val="21"/>
                <w:u w:val="single"/>
              </w:rPr>
              <w:t>表骨油、一氧化碳、嘧菌环胺</w:t>
            </w:r>
            <w:proofErr w:type="spellEnd"/>
            <w:r w:rsidRPr="00E11ED1">
              <w:rPr>
                <w:rFonts w:ascii="Times New Roman" w:hAnsi="Times New Roman"/>
                <w:sz w:val="21"/>
                <w:szCs w:val="21"/>
                <w:u w:val="single"/>
              </w:rPr>
              <w:t>(</w:t>
            </w:r>
            <w:proofErr w:type="spellStart"/>
            <w:r w:rsidRPr="00E11ED1">
              <w:rPr>
                <w:rFonts w:ascii="Times New Roman" w:hAnsi="Times New Roman"/>
                <w:sz w:val="21"/>
                <w:szCs w:val="21"/>
                <w:u w:val="single"/>
              </w:rPr>
              <w:t>Cyprodinil</w:t>
            </w:r>
            <w:proofErr w:type="spellEnd"/>
            <w:r w:rsidRPr="00E11ED1">
              <w:rPr>
                <w:rFonts w:ascii="Times New Roman" w:hAnsi="Times New Roman"/>
                <w:sz w:val="21"/>
                <w:szCs w:val="21"/>
                <w:u w:val="single"/>
              </w:rPr>
              <w:t>)</w:t>
            </w:r>
            <w:r w:rsidRPr="00E11ED1">
              <w:rPr>
                <w:rFonts w:ascii="Times New Roman" w:hAnsi="Times New Roman"/>
                <w:sz w:val="21"/>
                <w:szCs w:val="21"/>
                <w:u w:val="single"/>
              </w:rPr>
              <w:t>、</w:t>
            </w:r>
            <w:proofErr w:type="spellStart"/>
            <w:r w:rsidRPr="00E11ED1">
              <w:rPr>
                <w:rFonts w:ascii="Times New Roman" w:hAnsi="Times New Roman"/>
                <w:sz w:val="21"/>
                <w:szCs w:val="21"/>
                <w:u w:val="single"/>
              </w:rPr>
              <w:t>吗菌灵</w:t>
            </w:r>
            <w:proofErr w:type="spellEnd"/>
            <w:r w:rsidRPr="00E11ED1">
              <w:rPr>
                <w:rFonts w:ascii="Times New Roman" w:hAnsi="Times New Roman"/>
                <w:sz w:val="21"/>
                <w:szCs w:val="21"/>
                <w:u w:val="single"/>
              </w:rPr>
              <w:t>(</w:t>
            </w:r>
            <w:proofErr w:type="spellStart"/>
            <w:r w:rsidRPr="00E11ED1">
              <w:rPr>
                <w:rFonts w:ascii="Times New Roman" w:hAnsi="Times New Roman"/>
                <w:sz w:val="21"/>
                <w:szCs w:val="21"/>
                <w:u w:val="single"/>
              </w:rPr>
              <w:t>Dodemorh</w:t>
            </w:r>
            <w:proofErr w:type="spellEnd"/>
            <w:r w:rsidRPr="00E11ED1">
              <w:rPr>
                <w:rFonts w:ascii="Times New Roman" w:hAnsi="Times New Roman"/>
                <w:sz w:val="21"/>
                <w:szCs w:val="21"/>
                <w:u w:val="single"/>
              </w:rPr>
              <w:t>)</w:t>
            </w:r>
            <w:r w:rsidRPr="00E11ED1">
              <w:rPr>
                <w:rFonts w:ascii="Times New Roman" w:hAnsi="Times New Roman"/>
                <w:sz w:val="21"/>
                <w:szCs w:val="21"/>
                <w:u w:val="single"/>
              </w:rPr>
              <w:t>、</w:t>
            </w:r>
            <w:proofErr w:type="spellStart"/>
            <w:r w:rsidRPr="00E11ED1">
              <w:rPr>
                <w:rFonts w:ascii="Times New Roman" w:hAnsi="Times New Roman"/>
                <w:sz w:val="21"/>
                <w:szCs w:val="21"/>
                <w:u w:val="single"/>
              </w:rPr>
              <w:t>异菌脲</w:t>
            </w:r>
            <w:proofErr w:type="spellEnd"/>
            <w:r w:rsidRPr="00E11ED1">
              <w:rPr>
                <w:rFonts w:ascii="Times New Roman" w:hAnsi="Times New Roman"/>
                <w:sz w:val="21"/>
                <w:szCs w:val="21"/>
                <w:u w:val="single"/>
              </w:rPr>
              <w:t>(</w:t>
            </w:r>
            <w:proofErr w:type="spellStart"/>
            <w:r w:rsidRPr="00E11ED1">
              <w:rPr>
                <w:rFonts w:ascii="Times New Roman" w:hAnsi="Times New Roman"/>
                <w:sz w:val="21"/>
                <w:szCs w:val="21"/>
                <w:u w:val="single"/>
              </w:rPr>
              <w:t>Iprodione</w:t>
            </w:r>
            <w:proofErr w:type="spellEnd"/>
            <w:r w:rsidRPr="00E11ED1">
              <w:rPr>
                <w:rFonts w:ascii="Times New Roman" w:hAnsi="Times New Roman"/>
                <w:sz w:val="21"/>
                <w:szCs w:val="21"/>
                <w:u w:val="single"/>
              </w:rPr>
              <w:t>)</w:t>
            </w:r>
            <w:r w:rsidRPr="00E11ED1">
              <w:rPr>
                <w:rFonts w:ascii="Times New Roman" w:hAnsi="Times New Roman"/>
                <w:sz w:val="21"/>
                <w:szCs w:val="21"/>
                <w:u w:val="single"/>
              </w:rPr>
              <w:t>、</w:t>
            </w:r>
            <w:proofErr w:type="spellStart"/>
            <w:r w:rsidRPr="00E11ED1">
              <w:rPr>
                <w:rFonts w:ascii="Times New Roman" w:hAnsi="Times New Roman"/>
                <w:sz w:val="21"/>
                <w:szCs w:val="21"/>
                <w:u w:val="single"/>
              </w:rPr>
              <w:t>甲霜灵</w:t>
            </w:r>
            <w:proofErr w:type="spellEnd"/>
            <w:r w:rsidRPr="00E11ED1">
              <w:rPr>
                <w:rFonts w:ascii="Times New Roman" w:hAnsi="Times New Roman"/>
                <w:sz w:val="21"/>
                <w:szCs w:val="21"/>
                <w:u w:val="single"/>
              </w:rPr>
              <w:t>(</w:t>
            </w:r>
            <w:proofErr w:type="spellStart"/>
            <w:r w:rsidRPr="00E11ED1">
              <w:rPr>
                <w:rFonts w:ascii="Times New Roman" w:hAnsi="Times New Roman"/>
                <w:sz w:val="21"/>
                <w:szCs w:val="21"/>
                <w:u w:val="single"/>
              </w:rPr>
              <w:t>Metalaxyl</w:t>
            </w:r>
            <w:proofErr w:type="spellEnd"/>
            <w:r w:rsidRPr="00E11ED1">
              <w:rPr>
                <w:rFonts w:ascii="Times New Roman" w:hAnsi="Times New Roman"/>
                <w:sz w:val="21"/>
                <w:szCs w:val="21"/>
                <w:u w:val="single"/>
              </w:rPr>
              <w:t>)</w:t>
            </w:r>
            <w:r w:rsidRPr="00E11ED1">
              <w:rPr>
                <w:rFonts w:ascii="Times New Roman" w:hAnsi="Times New Roman"/>
                <w:sz w:val="21"/>
                <w:szCs w:val="21"/>
                <w:u w:val="single"/>
              </w:rPr>
              <w:t>、</w:t>
            </w:r>
            <w:proofErr w:type="spellStart"/>
            <w:r w:rsidRPr="00E11ED1">
              <w:rPr>
                <w:rFonts w:ascii="Times New Roman" w:hAnsi="Times New Roman"/>
                <w:sz w:val="21"/>
                <w:szCs w:val="21"/>
                <w:u w:val="single"/>
              </w:rPr>
              <w:t>精甲霜灵</w:t>
            </w:r>
            <w:proofErr w:type="spellEnd"/>
            <w:r w:rsidRPr="00E11ED1">
              <w:rPr>
                <w:rFonts w:ascii="Times New Roman" w:hAnsi="Times New Roman"/>
                <w:sz w:val="21"/>
                <w:szCs w:val="21"/>
                <w:u w:val="single"/>
              </w:rPr>
              <w:t>(</w:t>
            </w:r>
            <w:proofErr w:type="spellStart"/>
            <w:r w:rsidRPr="00E11ED1">
              <w:rPr>
                <w:rFonts w:ascii="Times New Roman" w:hAnsi="Times New Roman"/>
                <w:sz w:val="21"/>
                <w:szCs w:val="21"/>
                <w:u w:val="single"/>
              </w:rPr>
              <w:t>Metalaxyl</w:t>
            </w:r>
            <w:proofErr w:type="spellEnd"/>
            <w:r w:rsidRPr="00E11ED1">
              <w:rPr>
                <w:rFonts w:ascii="Times New Roman" w:hAnsi="Times New Roman"/>
                <w:sz w:val="21"/>
                <w:szCs w:val="21"/>
                <w:u w:val="single"/>
              </w:rPr>
              <w:t>-M)</w:t>
            </w:r>
            <w:r w:rsidRPr="00E11ED1">
              <w:rPr>
                <w:rFonts w:ascii="Times New Roman" w:hAnsi="Times New Roman"/>
                <w:sz w:val="21"/>
                <w:szCs w:val="21"/>
                <w:u w:val="single"/>
              </w:rPr>
              <w:t>、</w:t>
            </w:r>
            <w:proofErr w:type="spellStart"/>
            <w:r w:rsidRPr="00E11ED1">
              <w:rPr>
                <w:rFonts w:ascii="Times New Roman" w:hAnsi="Times New Roman"/>
                <w:sz w:val="21"/>
                <w:szCs w:val="21"/>
                <w:u w:val="single"/>
              </w:rPr>
              <w:t>四聚乙醛</w:t>
            </w:r>
            <w:proofErr w:type="spellEnd"/>
            <w:r w:rsidRPr="00E11ED1">
              <w:rPr>
                <w:rFonts w:ascii="Times New Roman" w:hAnsi="Times New Roman"/>
                <w:sz w:val="21"/>
                <w:szCs w:val="21"/>
                <w:u w:val="single"/>
              </w:rPr>
              <w:t>(</w:t>
            </w:r>
            <w:proofErr w:type="spellStart"/>
            <w:r w:rsidRPr="00E11ED1">
              <w:rPr>
                <w:rFonts w:ascii="Times New Roman" w:hAnsi="Times New Roman"/>
                <w:sz w:val="21"/>
                <w:szCs w:val="21"/>
                <w:u w:val="single"/>
              </w:rPr>
              <w:t>Metaldehyde</w:t>
            </w:r>
            <w:proofErr w:type="spellEnd"/>
            <w:r w:rsidRPr="00E11ED1">
              <w:rPr>
                <w:rFonts w:ascii="Times New Roman" w:hAnsi="Times New Roman"/>
                <w:sz w:val="21"/>
                <w:szCs w:val="21"/>
                <w:u w:val="single"/>
              </w:rPr>
              <w:t>)</w:t>
            </w:r>
            <w:r w:rsidRPr="00E11ED1">
              <w:rPr>
                <w:rFonts w:ascii="Times New Roman" w:hAnsi="Times New Roman"/>
                <w:sz w:val="21"/>
                <w:szCs w:val="21"/>
                <w:u w:val="single"/>
              </w:rPr>
              <w:t>、</w:t>
            </w:r>
            <w:proofErr w:type="spellStart"/>
            <w:r w:rsidRPr="00E11ED1">
              <w:rPr>
                <w:rFonts w:ascii="Times New Roman" w:hAnsi="Times New Roman"/>
                <w:sz w:val="21"/>
                <w:szCs w:val="21"/>
                <w:u w:val="single"/>
              </w:rPr>
              <w:t>吡唑草胺</w:t>
            </w:r>
            <w:proofErr w:type="spellEnd"/>
            <w:r w:rsidRPr="00E11ED1">
              <w:rPr>
                <w:rFonts w:ascii="Times New Roman" w:hAnsi="Times New Roman"/>
                <w:sz w:val="21"/>
                <w:szCs w:val="21"/>
                <w:u w:val="single"/>
              </w:rPr>
              <w:t>(Metazachlor)</w:t>
            </w:r>
            <w:r w:rsidRPr="00E11ED1">
              <w:rPr>
                <w:rFonts w:ascii="Times New Roman" w:hAnsi="Times New Roman"/>
                <w:sz w:val="21"/>
                <w:szCs w:val="21"/>
                <w:u w:val="single"/>
              </w:rPr>
              <w:t>、</w:t>
            </w:r>
            <w:proofErr w:type="spellStart"/>
            <w:r w:rsidRPr="00E11ED1">
              <w:rPr>
                <w:rFonts w:ascii="Times New Roman" w:hAnsi="Times New Roman"/>
                <w:sz w:val="21"/>
                <w:szCs w:val="21"/>
                <w:u w:val="single"/>
              </w:rPr>
              <w:t>液体石蜡</w:t>
            </w:r>
            <w:proofErr w:type="spellEnd"/>
            <w:r w:rsidRPr="00E11ED1">
              <w:rPr>
                <w:rFonts w:ascii="Times New Roman" w:hAnsi="Times New Roman"/>
                <w:sz w:val="21"/>
                <w:szCs w:val="21"/>
                <w:u w:val="single"/>
              </w:rPr>
              <w:t>(CAS64742-54-7)</w:t>
            </w:r>
            <w:r w:rsidRPr="00E11ED1">
              <w:rPr>
                <w:rFonts w:ascii="Times New Roman" w:hAnsi="Times New Roman"/>
                <w:sz w:val="21"/>
                <w:szCs w:val="21"/>
                <w:u w:val="single"/>
              </w:rPr>
              <w:t>、</w:t>
            </w:r>
            <w:proofErr w:type="spellStart"/>
            <w:r w:rsidRPr="00E11ED1">
              <w:rPr>
                <w:rFonts w:ascii="Times New Roman" w:hAnsi="Times New Roman"/>
                <w:sz w:val="21"/>
                <w:szCs w:val="21"/>
                <w:u w:val="single"/>
              </w:rPr>
              <w:t>石油</w:t>
            </w:r>
            <w:proofErr w:type="spellEnd"/>
            <w:r w:rsidRPr="00E11ED1">
              <w:rPr>
                <w:rFonts w:ascii="Times New Roman" w:hAnsi="Times New Roman"/>
                <w:sz w:val="21"/>
                <w:szCs w:val="21"/>
                <w:u w:val="single"/>
              </w:rPr>
              <w:t>(CAS92062-35-6)</w:t>
            </w:r>
            <w:proofErr w:type="spellStart"/>
            <w:r w:rsidRPr="00E11ED1">
              <w:rPr>
                <w:rFonts w:ascii="Times New Roman" w:hAnsi="Times New Roman"/>
                <w:sz w:val="21"/>
                <w:szCs w:val="21"/>
                <w:u w:val="single"/>
              </w:rPr>
              <w:t>及克螨特</w:t>
            </w:r>
            <w:proofErr w:type="spellEnd"/>
            <w:r w:rsidRPr="00E11ED1">
              <w:rPr>
                <w:rFonts w:ascii="Times New Roman" w:hAnsi="Times New Roman"/>
                <w:sz w:val="21"/>
                <w:szCs w:val="21"/>
                <w:u w:val="single"/>
              </w:rPr>
              <w:t>(</w:t>
            </w:r>
            <w:proofErr w:type="spellStart"/>
            <w:r w:rsidRPr="00E11ED1">
              <w:rPr>
                <w:rFonts w:ascii="Times New Roman" w:hAnsi="Times New Roman"/>
                <w:sz w:val="21"/>
                <w:szCs w:val="21"/>
                <w:u w:val="single"/>
              </w:rPr>
              <w:t>Propargite</w:t>
            </w:r>
            <w:proofErr w:type="spellEnd"/>
            <w:r w:rsidRPr="00E11ED1">
              <w:rPr>
                <w:rFonts w:ascii="Times New Roman" w:hAnsi="Times New Roman"/>
                <w:sz w:val="21"/>
                <w:szCs w:val="21"/>
                <w:u w:val="single"/>
              </w:rPr>
              <w:t>)</w:t>
            </w:r>
            <w:proofErr w:type="spellStart"/>
            <w:r w:rsidRPr="00E11ED1">
              <w:rPr>
                <w:rFonts w:ascii="Times New Roman" w:hAnsi="Times New Roman"/>
                <w:sz w:val="21"/>
                <w:szCs w:val="21"/>
                <w:u w:val="single"/>
              </w:rPr>
              <w:t>最大残留限量</w:t>
            </w:r>
            <w:proofErr w:type="spellEnd"/>
            <w:r w:rsidRPr="00E11ED1">
              <w:rPr>
                <w:rFonts w:ascii="Times New Roman" w:hAnsi="Times New Roman"/>
                <w:sz w:val="21"/>
                <w:szCs w:val="21"/>
                <w:u w:val="single"/>
              </w:rPr>
              <w:t>。</w:t>
            </w:r>
          </w:p>
          <w:p w:rsidR="00E11ED1" w:rsidRPr="00E11ED1" w:rsidRDefault="00E11ED1" w:rsidP="00E11ED1">
            <w:pPr>
              <w:adjustRightInd w:val="0"/>
              <w:snapToGrid w:val="0"/>
              <w:jc w:val="left"/>
              <w:rPr>
                <w:rFonts w:ascii="Times New Roman" w:hAnsi="宋体"/>
                <w:snapToGrid w:val="0"/>
                <w:sz w:val="21"/>
                <w:szCs w:val="21"/>
                <w:lang w:eastAsia="zh-CN"/>
              </w:rPr>
            </w:pPr>
            <w:r w:rsidRPr="00E11ED1">
              <w:rPr>
                <w:rFonts w:ascii="Times New Roman" w:hAnsi="Times New Roman" w:hint="eastAsia"/>
                <w:sz w:val="21"/>
                <w:szCs w:val="21"/>
                <w:lang w:eastAsia="zh-CN"/>
              </w:rPr>
              <w:t xml:space="preserve">  </w:t>
            </w:r>
            <w:r w:rsidRPr="00E11ED1">
              <w:rPr>
                <w:rFonts w:ascii="Times New Roman" w:hAnsi="Times New Roman" w:hint="eastAsia"/>
                <w:sz w:val="21"/>
                <w:szCs w:val="21"/>
                <w:lang w:eastAsia="zh-CN"/>
              </w:rPr>
              <w:t>第</w:t>
            </w:r>
            <w:r w:rsidRPr="00E11ED1">
              <w:rPr>
                <w:rFonts w:ascii="Times New Roman" w:hAnsi="Times New Roman" w:hint="eastAsia"/>
                <w:sz w:val="21"/>
                <w:szCs w:val="21"/>
                <w:lang w:eastAsia="zh-CN"/>
              </w:rPr>
              <w:t>G/SPS/N/EU/84</w:t>
            </w:r>
            <w:r w:rsidRPr="00E11ED1">
              <w:rPr>
                <w:rFonts w:ascii="Times New Roman" w:hAnsi="Times New Roman" w:hint="eastAsia"/>
                <w:sz w:val="21"/>
                <w:szCs w:val="21"/>
                <w:lang w:eastAsia="zh-CN"/>
              </w:rPr>
              <w:t>号文</w:t>
            </w:r>
            <w:r w:rsidRPr="00E11ED1">
              <w:rPr>
                <w:rFonts w:ascii="Times New Roman" w:hAnsi="Times New Roman" w:hint="eastAsia"/>
                <w:sz w:val="21"/>
                <w:szCs w:val="21"/>
                <w:lang w:eastAsia="zh-CN"/>
              </w:rPr>
              <w:t>(2014</w:t>
            </w:r>
            <w:r w:rsidRPr="00E11ED1">
              <w:rPr>
                <w:rFonts w:ascii="Times New Roman" w:hAnsi="Times New Roman" w:hint="eastAsia"/>
                <w:sz w:val="21"/>
                <w:szCs w:val="21"/>
                <w:lang w:eastAsia="zh-CN"/>
              </w:rPr>
              <w:t>年</w:t>
            </w:r>
            <w:r w:rsidRPr="00E11ED1">
              <w:rPr>
                <w:rFonts w:ascii="Times New Roman" w:hAnsi="Times New Roman" w:hint="eastAsia"/>
                <w:sz w:val="21"/>
                <w:szCs w:val="21"/>
                <w:lang w:eastAsia="zh-CN"/>
              </w:rPr>
              <w:t>7</w:t>
            </w:r>
            <w:r w:rsidRPr="00E11ED1">
              <w:rPr>
                <w:rFonts w:ascii="Times New Roman" w:hAnsi="Times New Roman" w:hint="eastAsia"/>
                <w:sz w:val="21"/>
                <w:szCs w:val="21"/>
                <w:lang w:eastAsia="zh-CN"/>
              </w:rPr>
              <w:t>月</w:t>
            </w:r>
            <w:r w:rsidRPr="00E11ED1">
              <w:rPr>
                <w:rFonts w:ascii="Times New Roman" w:hAnsi="Times New Roman" w:hint="eastAsia"/>
                <w:sz w:val="21"/>
                <w:szCs w:val="21"/>
                <w:lang w:eastAsia="zh-CN"/>
              </w:rPr>
              <w:t>4</w:t>
            </w:r>
            <w:r w:rsidRPr="00E11ED1">
              <w:rPr>
                <w:rFonts w:ascii="Times New Roman" w:hAnsi="Times New Roman" w:hint="eastAsia"/>
                <w:sz w:val="21"/>
                <w:szCs w:val="21"/>
                <w:lang w:eastAsia="zh-CN"/>
              </w:rPr>
              <w:t>日</w:t>
            </w:r>
            <w:r w:rsidRPr="00E11ED1">
              <w:rPr>
                <w:rFonts w:ascii="Times New Roman" w:hAnsi="Times New Roman" w:hint="eastAsia"/>
                <w:sz w:val="21"/>
                <w:szCs w:val="21"/>
                <w:lang w:eastAsia="zh-CN"/>
              </w:rPr>
              <w:t>)</w:t>
            </w:r>
            <w:r w:rsidRPr="00E11ED1">
              <w:rPr>
                <w:rFonts w:ascii="Times New Roman" w:hAnsi="Times New Roman" w:hint="eastAsia"/>
                <w:sz w:val="21"/>
                <w:szCs w:val="21"/>
                <w:lang w:eastAsia="zh-CN"/>
              </w:rPr>
              <w:t>通报提案已批准为“委员会</w:t>
            </w:r>
            <w:r w:rsidRPr="00E11ED1">
              <w:rPr>
                <w:rFonts w:ascii="Times New Roman" w:hAnsi="Times New Roman" w:hint="eastAsia"/>
                <w:sz w:val="21"/>
                <w:szCs w:val="21"/>
                <w:lang w:eastAsia="zh-CN"/>
              </w:rPr>
              <w:t>2015</w:t>
            </w:r>
            <w:r w:rsidRPr="00E11ED1">
              <w:rPr>
                <w:rFonts w:ascii="Times New Roman" w:hAnsi="Times New Roman" w:hint="eastAsia"/>
                <w:sz w:val="21"/>
                <w:szCs w:val="21"/>
                <w:lang w:eastAsia="zh-CN"/>
              </w:rPr>
              <w:t>年</w:t>
            </w:r>
            <w:r w:rsidRPr="00E11ED1">
              <w:rPr>
                <w:rFonts w:ascii="Times New Roman" w:hAnsi="Times New Roman" w:hint="eastAsia"/>
                <w:sz w:val="21"/>
                <w:szCs w:val="21"/>
                <w:lang w:eastAsia="zh-CN"/>
              </w:rPr>
              <w:t>2</w:t>
            </w:r>
            <w:r w:rsidRPr="00E11ED1">
              <w:rPr>
                <w:rFonts w:ascii="Times New Roman" w:hAnsi="Times New Roman" w:hint="eastAsia"/>
                <w:sz w:val="21"/>
                <w:szCs w:val="21"/>
                <w:lang w:eastAsia="zh-CN"/>
              </w:rPr>
              <w:t>月</w:t>
            </w:r>
            <w:r w:rsidRPr="00E11ED1">
              <w:rPr>
                <w:rFonts w:ascii="Times New Roman" w:hAnsi="Times New Roman" w:hint="eastAsia"/>
                <w:sz w:val="21"/>
                <w:szCs w:val="21"/>
                <w:lang w:eastAsia="zh-CN"/>
              </w:rPr>
              <w:t>25</w:t>
            </w:r>
            <w:r w:rsidRPr="00E11ED1">
              <w:rPr>
                <w:rFonts w:ascii="Times New Roman" w:hAnsi="Times New Roman" w:hint="eastAsia"/>
                <w:sz w:val="21"/>
                <w:szCs w:val="21"/>
                <w:lang w:eastAsia="zh-CN"/>
              </w:rPr>
              <w:t>日第</w:t>
            </w:r>
            <w:r w:rsidRPr="00E11ED1">
              <w:rPr>
                <w:rFonts w:ascii="Times New Roman" w:hAnsi="Times New Roman" w:hint="eastAsia"/>
                <w:sz w:val="21"/>
                <w:szCs w:val="21"/>
                <w:lang w:eastAsia="zh-CN"/>
              </w:rPr>
              <w:t>(EU)2015/400</w:t>
            </w:r>
            <w:r w:rsidRPr="00E11ED1">
              <w:rPr>
                <w:rFonts w:ascii="Times New Roman" w:hAnsi="Times New Roman" w:hint="eastAsia"/>
                <w:sz w:val="21"/>
                <w:szCs w:val="21"/>
                <w:lang w:eastAsia="zh-CN"/>
              </w:rPr>
              <w:t>号法规——修改欧洲议会及理事会有关某些产品内</w:t>
            </w:r>
            <w:r w:rsidRPr="00E11ED1">
              <w:rPr>
                <w:rFonts w:ascii="Times New Roman" w:hAnsi="Times New Roman" w:hint="eastAsia"/>
                <w:sz w:val="21"/>
                <w:szCs w:val="21"/>
                <w:lang w:eastAsia="zh-CN"/>
              </w:rPr>
              <w:t>/</w:t>
            </w:r>
            <w:r w:rsidRPr="00E11ED1">
              <w:rPr>
                <w:rFonts w:ascii="Times New Roman" w:hAnsi="Times New Roman" w:hint="eastAsia"/>
                <w:sz w:val="21"/>
                <w:szCs w:val="21"/>
                <w:lang w:eastAsia="zh-CN"/>
              </w:rPr>
              <w:t>表骨油、一氧化碳、</w:t>
            </w:r>
            <w:proofErr w:type="gramStart"/>
            <w:r w:rsidRPr="00E11ED1">
              <w:rPr>
                <w:rFonts w:ascii="Times New Roman" w:hAnsi="Times New Roman" w:hint="eastAsia"/>
                <w:sz w:val="21"/>
                <w:szCs w:val="21"/>
                <w:lang w:eastAsia="zh-CN"/>
              </w:rPr>
              <w:t>嘧</w:t>
            </w:r>
            <w:proofErr w:type="gramEnd"/>
            <w:r w:rsidRPr="00E11ED1">
              <w:rPr>
                <w:rFonts w:ascii="Times New Roman" w:hAnsi="Times New Roman" w:hint="eastAsia"/>
                <w:sz w:val="21"/>
                <w:szCs w:val="21"/>
                <w:lang w:eastAsia="zh-CN"/>
              </w:rPr>
              <w:t>菌环胺</w:t>
            </w:r>
            <w:r w:rsidRPr="00E11ED1">
              <w:rPr>
                <w:rFonts w:ascii="Times New Roman" w:hAnsi="Times New Roman" w:hint="eastAsia"/>
                <w:sz w:val="21"/>
                <w:szCs w:val="21"/>
                <w:lang w:eastAsia="zh-CN"/>
              </w:rPr>
              <w:t>(</w:t>
            </w:r>
            <w:proofErr w:type="spellStart"/>
            <w:r w:rsidRPr="00E11ED1">
              <w:rPr>
                <w:rFonts w:ascii="Times New Roman" w:hAnsi="Times New Roman" w:hint="eastAsia"/>
                <w:sz w:val="21"/>
                <w:szCs w:val="21"/>
                <w:lang w:eastAsia="zh-CN"/>
              </w:rPr>
              <w:t>Cyprodinil</w:t>
            </w:r>
            <w:proofErr w:type="spellEnd"/>
            <w:r w:rsidRPr="00E11ED1">
              <w:rPr>
                <w:rFonts w:ascii="Times New Roman" w:hAnsi="Times New Roman" w:hint="eastAsia"/>
                <w:sz w:val="21"/>
                <w:szCs w:val="21"/>
                <w:lang w:eastAsia="zh-CN"/>
              </w:rPr>
              <w:t>)</w:t>
            </w:r>
            <w:r w:rsidRPr="00E11ED1">
              <w:rPr>
                <w:rFonts w:ascii="Times New Roman" w:hAnsi="Times New Roman" w:hint="eastAsia"/>
                <w:sz w:val="21"/>
                <w:szCs w:val="21"/>
                <w:lang w:eastAsia="zh-CN"/>
              </w:rPr>
              <w:t>、吗菌灵</w:t>
            </w:r>
            <w:r w:rsidRPr="00E11ED1">
              <w:rPr>
                <w:rFonts w:ascii="Times New Roman" w:hAnsi="Times New Roman" w:hint="eastAsia"/>
                <w:sz w:val="21"/>
                <w:szCs w:val="21"/>
                <w:lang w:eastAsia="zh-CN"/>
              </w:rPr>
              <w:t>(</w:t>
            </w:r>
            <w:proofErr w:type="spellStart"/>
            <w:r w:rsidRPr="00E11ED1">
              <w:rPr>
                <w:rFonts w:ascii="Times New Roman" w:hAnsi="Times New Roman" w:hint="eastAsia"/>
                <w:sz w:val="21"/>
                <w:szCs w:val="21"/>
                <w:lang w:eastAsia="zh-CN"/>
              </w:rPr>
              <w:t>Dodemorh</w:t>
            </w:r>
            <w:proofErr w:type="spellEnd"/>
            <w:r w:rsidRPr="00E11ED1">
              <w:rPr>
                <w:rFonts w:ascii="Times New Roman" w:hAnsi="Times New Roman" w:hint="eastAsia"/>
                <w:sz w:val="21"/>
                <w:szCs w:val="21"/>
                <w:lang w:eastAsia="zh-CN"/>
              </w:rPr>
              <w:t>)</w:t>
            </w:r>
            <w:r w:rsidRPr="00E11ED1">
              <w:rPr>
                <w:rFonts w:ascii="Times New Roman" w:hAnsi="Times New Roman" w:hint="eastAsia"/>
                <w:sz w:val="21"/>
                <w:szCs w:val="21"/>
                <w:lang w:eastAsia="zh-CN"/>
              </w:rPr>
              <w:t>、异菌</w:t>
            </w:r>
            <w:proofErr w:type="gramStart"/>
            <w:r w:rsidRPr="00E11ED1">
              <w:rPr>
                <w:rFonts w:ascii="Times New Roman" w:hAnsi="Times New Roman" w:hint="eastAsia"/>
                <w:sz w:val="21"/>
                <w:szCs w:val="21"/>
                <w:lang w:eastAsia="zh-CN"/>
              </w:rPr>
              <w:t>脲</w:t>
            </w:r>
            <w:proofErr w:type="gramEnd"/>
            <w:r w:rsidRPr="00E11ED1">
              <w:rPr>
                <w:rFonts w:ascii="Times New Roman" w:hAnsi="Times New Roman" w:hint="eastAsia"/>
                <w:sz w:val="21"/>
                <w:szCs w:val="21"/>
                <w:lang w:eastAsia="zh-CN"/>
              </w:rPr>
              <w:t>(</w:t>
            </w:r>
            <w:proofErr w:type="spellStart"/>
            <w:r w:rsidRPr="00E11ED1">
              <w:rPr>
                <w:rFonts w:ascii="Times New Roman" w:hAnsi="Times New Roman" w:hint="eastAsia"/>
                <w:sz w:val="21"/>
                <w:szCs w:val="21"/>
                <w:lang w:eastAsia="zh-CN"/>
              </w:rPr>
              <w:t>Iprodione</w:t>
            </w:r>
            <w:proofErr w:type="spellEnd"/>
            <w:r w:rsidRPr="00E11ED1">
              <w:rPr>
                <w:rFonts w:ascii="Times New Roman" w:hAnsi="Times New Roman" w:hint="eastAsia"/>
                <w:sz w:val="21"/>
                <w:szCs w:val="21"/>
                <w:lang w:eastAsia="zh-CN"/>
              </w:rPr>
              <w:t>)</w:t>
            </w:r>
            <w:r w:rsidRPr="00E11ED1">
              <w:rPr>
                <w:rFonts w:ascii="Times New Roman" w:hAnsi="Times New Roman" w:hint="eastAsia"/>
                <w:sz w:val="21"/>
                <w:szCs w:val="21"/>
                <w:lang w:eastAsia="zh-CN"/>
              </w:rPr>
              <w:t>、甲霜灵</w:t>
            </w:r>
            <w:r w:rsidRPr="00E11ED1">
              <w:rPr>
                <w:rFonts w:ascii="Times New Roman" w:hAnsi="Times New Roman" w:hint="eastAsia"/>
                <w:sz w:val="21"/>
                <w:szCs w:val="21"/>
                <w:lang w:eastAsia="zh-CN"/>
              </w:rPr>
              <w:t>(</w:t>
            </w:r>
            <w:proofErr w:type="spellStart"/>
            <w:r w:rsidRPr="00E11ED1">
              <w:rPr>
                <w:rFonts w:ascii="Times New Roman" w:hAnsi="Times New Roman" w:hint="eastAsia"/>
                <w:sz w:val="21"/>
                <w:szCs w:val="21"/>
                <w:lang w:eastAsia="zh-CN"/>
              </w:rPr>
              <w:t>Metalaxyl</w:t>
            </w:r>
            <w:proofErr w:type="spellEnd"/>
            <w:r w:rsidRPr="00E11ED1">
              <w:rPr>
                <w:rFonts w:ascii="Times New Roman" w:hAnsi="Times New Roman" w:hint="eastAsia"/>
                <w:sz w:val="21"/>
                <w:szCs w:val="21"/>
                <w:lang w:eastAsia="zh-CN"/>
              </w:rPr>
              <w:t>)</w:t>
            </w:r>
            <w:r w:rsidRPr="00E11ED1">
              <w:rPr>
                <w:rFonts w:ascii="Times New Roman" w:hAnsi="Times New Roman" w:hint="eastAsia"/>
                <w:sz w:val="21"/>
                <w:szCs w:val="21"/>
                <w:lang w:eastAsia="zh-CN"/>
              </w:rPr>
              <w:t>、精甲霜灵</w:t>
            </w:r>
            <w:r w:rsidRPr="00E11ED1">
              <w:rPr>
                <w:rFonts w:ascii="Times New Roman" w:hAnsi="Times New Roman" w:hint="eastAsia"/>
                <w:sz w:val="21"/>
                <w:szCs w:val="21"/>
                <w:lang w:eastAsia="zh-CN"/>
              </w:rPr>
              <w:t>(</w:t>
            </w:r>
            <w:proofErr w:type="spellStart"/>
            <w:r w:rsidRPr="00E11ED1">
              <w:rPr>
                <w:rFonts w:ascii="Times New Roman" w:hAnsi="Times New Roman" w:hint="eastAsia"/>
                <w:sz w:val="21"/>
                <w:szCs w:val="21"/>
                <w:lang w:eastAsia="zh-CN"/>
              </w:rPr>
              <w:t>Metalaxyl</w:t>
            </w:r>
            <w:proofErr w:type="spellEnd"/>
            <w:r w:rsidRPr="00E11ED1">
              <w:rPr>
                <w:rFonts w:ascii="Times New Roman" w:hAnsi="Times New Roman" w:hint="eastAsia"/>
                <w:sz w:val="21"/>
                <w:szCs w:val="21"/>
                <w:lang w:eastAsia="zh-CN"/>
              </w:rPr>
              <w:t>-M)</w:t>
            </w:r>
            <w:r w:rsidRPr="00E11ED1">
              <w:rPr>
                <w:rFonts w:ascii="Times New Roman" w:hAnsi="Times New Roman" w:hint="eastAsia"/>
                <w:sz w:val="21"/>
                <w:szCs w:val="21"/>
                <w:lang w:eastAsia="zh-CN"/>
              </w:rPr>
              <w:t>、四聚乙醛</w:t>
            </w:r>
            <w:r w:rsidRPr="00E11ED1">
              <w:rPr>
                <w:rFonts w:ascii="Times New Roman" w:hAnsi="Times New Roman" w:hint="eastAsia"/>
                <w:sz w:val="21"/>
                <w:szCs w:val="21"/>
                <w:lang w:eastAsia="zh-CN"/>
              </w:rPr>
              <w:t>(</w:t>
            </w:r>
            <w:proofErr w:type="spellStart"/>
            <w:r w:rsidRPr="00E11ED1">
              <w:rPr>
                <w:rFonts w:ascii="Times New Roman" w:hAnsi="Times New Roman" w:hint="eastAsia"/>
                <w:sz w:val="21"/>
                <w:szCs w:val="21"/>
                <w:lang w:eastAsia="zh-CN"/>
              </w:rPr>
              <w:t>Metaldehyde</w:t>
            </w:r>
            <w:proofErr w:type="spellEnd"/>
            <w:r w:rsidRPr="00E11ED1">
              <w:rPr>
                <w:rFonts w:ascii="Times New Roman" w:hAnsi="Times New Roman" w:hint="eastAsia"/>
                <w:sz w:val="21"/>
                <w:szCs w:val="21"/>
                <w:lang w:eastAsia="zh-CN"/>
              </w:rPr>
              <w:t>)</w:t>
            </w:r>
            <w:r w:rsidRPr="00E11ED1">
              <w:rPr>
                <w:rFonts w:ascii="Times New Roman" w:hAnsi="Times New Roman" w:hint="eastAsia"/>
                <w:sz w:val="21"/>
                <w:szCs w:val="21"/>
                <w:lang w:eastAsia="zh-CN"/>
              </w:rPr>
              <w:t>、吡唑草胺</w:t>
            </w:r>
            <w:r w:rsidRPr="00E11ED1">
              <w:rPr>
                <w:rFonts w:ascii="Times New Roman" w:hAnsi="Times New Roman" w:hint="eastAsia"/>
                <w:sz w:val="21"/>
                <w:szCs w:val="21"/>
                <w:lang w:eastAsia="zh-CN"/>
              </w:rPr>
              <w:t>(Metazachlor)</w:t>
            </w:r>
            <w:r w:rsidRPr="00E11ED1">
              <w:rPr>
                <w:rFonts w:ascii="Times New Roman" w:hAnsi="Times New Roman" w:hint="eastAsia"/>
                <w:sz w:val="21"/>
                <w:szCs w:val="21"/>
                <w:lang w:eastAsia="zh-CN"/>
              </w:rPr>
              <w:t>、液体石蜡</w:t>
            </w:r>
            <w:r w:rsidRPr="00E11ED1">
              <w:rPr>
                <w:rFonts w:ascii="Times New Roman" w:hAnsi="Times New Roman" w:hint="eastAsia"/>
                <w:sz w:val="21"/>
                <w:szCs w:val="21"/>
                <w:lang w:eastAsia="zh-CN"/>
              </w:rPr>
              <w:t>(CAS64742-54-7)</w:t>
            </w:r>
            <w:r w:rsidRPr="00E11ED1">
              <w:rPr>
                <w:rFonts w:ascii="Times New Roman" w:hAnsi="Times New Roman" w:hint="eastAsia"/>
                <w:sz w:val="21"/>
                <w:szCs w:val="21"/>
                <w:lang w:eastAsia="zh-CN"/>
              </w:rPr>
              <w:t>、石油</w:t>
            </w:r>
            <w:r w:rsidRPr="00E11ED1">
              <w:rPr>
                <w:rFonts w:ascii="Times New Roman" w:hAnsi="Times New Roman" w:hint="eastAsia"/>
                <w:sz w:val="21"/>
                <w:szCs w:val="21"/>
                <w:lang w:eastAsia="zh-CN"/>
              </w:rPr>
              <w:t>(CAS92062-35-6)</w:t>
            </w:r>
            <w:r w:rsidRPr="00E11ED1">
              <w:rPr>
                <w:rFonts w:ascii="Times New Roman" w:hAnsi="Times New Roman" w:hint="eastAsia"/>
                <w:sz w:val="21"/>
                <w:szCs w:val="21"/>
                <w:lang w:eastAsia="zh-CN"/>
              </w:rPr>
              <w:t>及克</w:t>
            </w:r>
            <w:proofErr w:type="gramStart"/>
            <w:r w:rsidRPr="00E11ED1">
              <w:rPr>
                <w:rFonts w:ascii="Times New Roman" w:hAnsi="Times New Roman" w:hint="eastAsia"/>
                <w:sz w:val="21"/>
                <w:szCs w:val="21"/>
                <w:lang w:eastAsia="zh-CN"/>
              </w:rPr>
              <w:t>螨</w:t>
            </w:r>
            <w:proofErr w:type="gramEnd"/>
            <w:r w:rsidRPr="00E11ED1">
              <w:rPr>
                <w:rFonts w:ascii="Times New Roman" w:hAnsi="Times New Roman" w:hint="eastAsia"/>
                <w:sz w:val="21"/>
                <w:szCs w:val="21"/>
                <w:lang w:eastAsia="zh-CN"/>
              </w:rPr>
              <w:t>特</w:t>
            </w:r>
            <w:r w:rsidRPr="00E11ED1">
              <w:rPr>
                <w:rFonts w:ascii="Times New Roman" w:hAnsi="Times New Roman" w:hint="eastAsia"/>
                <w:sz w:val="21"/>
                <w:szCs w:val="21"/>
                <w:lang w:eastAsia="zh-CN"/>
              </w:rPr>
              <w:t>(</w:t>
            </w:r>
            <w:proofErr w:type="spellStart"/>
            <w:r w:rsidRPr="00E11ED1">
              <w:rPr>
                <w:rFonts w:ascii="Times New Roman" w:hAnsi="Times New Roman" w:hint="eastAsia"/>
                <w:sz w:val="21"/>
                <w:szCs w:val="21"/>
                <w:lang w:eastAsia="zh-CN"/>
              </w:rPr>
              <w:t>Propargite</w:t>
            </w:r>
            <w:proofErr w:type="spellEnd"/>
            <w:r w:rsidRPr="00E11ED1">
              <w:rPr>
                <w:rFonts w:ascii="Times New Roman" w:hAnsi="Times New Roman" w:hint="eastAsia"/>
                <w:sz w:val="21"/>
                <w:szCs w:val="21"/>
                <w:lang w:eastAsia="zh-CN"/>
              </w:rPr>
              <w:t>)</w:t>
            </w:r>
            <w:r w:rsidRPr="00E11ED1">
              <w:rPr>
                <w:rFonts w:ascii="Times New Roman" w:hAnsi="Times New Roman" w:hint="eastAsia"/>
                <w:sz w:val="21"/>
                <w:szCs w:val="21"/>
                <w:lang w:eastAsia="zh-CN"/>
              </w:rPr>
              <w:t>最大残留限量的第</w:t>
            </w:r>
            <w:r w:rsidRPr="00E11ED1">
              <w:rPr>
                <w:rFonts w:ascii="Times New Roman" w:hAnsi="Times New Roman" w:hint="eastAsia"/>
                <w:sz w:val="21"/>
                <w:szCs w:val="21"/>
                <w:lang w:eastAsia="zh-CN"/>
              </w:rPr>
              <w:t>(EC)396/2005</w:t>
            </w:r>
            <w:r w:rsidRPr="00E11ED1">
              <w:rPr>
                <w:rFonts w:ascii="Times New Roman" w:hAnsi="Times New Roman" w:hint="eastAsia"/>
                <w:sz w:val="21"/>
                <w:szCs w:val="21"/>
                <w:lang w:eastAsia="zh-CN"/>
              </w:rPr>
              <w:t>号法规附件</w:t>
            </w:r>
            <w:r w:rsidRPr="00E11ED1">
              <w:rPr>
                <w:rFonts w:ascii="Times New Roman" w:hAnsi="Times New Roman" w:hint="eastAsia"/>
                <w:sz w:val="21"/>
                <w:szCs w:val="21"/>
                <w:lang w:eastAsia="zh-CN"/>
              </w:rPr>
              <w:t>II</w:t>
            </w:r>
            <w:r w:rsidRPr="00E11ED1">
              <w:rPr>
                <w:rFonts w:ascii="Times New Roman" w:hAnsi="Times New Roman" w:hint="eastAsia"/>
                <w:sz w:val="21"/>
                <w:szCs w:val="21"/>
                <w:lang w:eastAsia="zh-CN"/>
              </w:rPr>
              <w:t>、</w:t>
            </w:r>
            <w:r w:rsidRPr="00E11ED1">
              <w:rPr>
                <w:rFonts w:ascii="Times New Roman" w:hAnsi="Times New Roman" w:hint="eastAsia"/>
                <w:sz w:val="21"/>
                <w:szCs w:val="21"/>
                <w:lang w:eastAsia="zh-CN"/>
              </w:rPr>
              <w:t>III</w:t>
            </w:r>
            <w:r w:rsidRPr="00E11ED1">
              <w:rPr>
                <w:rFonts w:ascii="Times New Roman" w:hAnsi="Times New Roman" w:hint="eastAsia"/>
                <w:sz w:val="21"/>
                <w:szCs w:val="21"/>
                <w:lang w:eastAsia="zh-CN"/>
              </w:rPr>
              <w:t>及</w:t>
            </w:r>
            <w:r w:rsidRPr="00E11ED1">
              <w:rPr>
                <w:rFonts w:ascii="Times New Roman" w:hAnsi="Times New Roman" w:hint="eastAsia"/>
                <w:sz w:val="21"/>
                <w:szCs w:val="21"/>
                <w:lang w:eastAsia="zh-CN"/>
              </w:rPr>
              <w:t>V(</w:t>
            </w:r>
            <w:r w:rsidRPr="00E11ED1">
              <w:rPr>
                <w:rFonts w:ascii="Times New Roman" w:hAnsi="Times New Roman" w:hint="eastAsia"/>
                <w:sz w:val="21"/>
                <w:szCs w:val="21"/>
                <w:lang w:eastAsia="zh-CN"/>
              </w:rPr>
              <w:t>欧洲经济区相关文本</w:t>
            </w:r>
            <w:r w:rsidRPr="00E11ED1">
              <w:rPr>
                <w:rFonts w:ascii="Times New Roman" w:hAnsi="Times New Roman" w:hint="eastAsia"/>
                <w:sz w:val="21"/>
                <w:szCs w:val="21"/>
                <w:lang w:eastAsia="zh-CN"/>
              </w:rPr>
              <w:t>)</w:t>
            </w:r>
            <w:r w:rsidRPr="00E11ED1">
              <w:rPr>
                <w:rFonts w:ascii="Times New Roman" w:hAnsi="Times New Roman" w:hint="eastAsia"/>
                <w:sz w:val="21"/>
                <w:szCs w:val="21"/>
                <w:lang w:eastAsia="zh-CN"/>
              </w:rPr>
              <w:t>”</w:t>
            </w:r>
            <w:r w:rsidRPr="00E11ED1">
              <w:rPr>
                <w:rFonts w:ascii="Times New Roman" w:hAnsi="Times New Roman" w:hint="eastAsia"/>
                <w:sz w:val="21"/>
                <w:szCs w:val="21"/>
                <w:lang w:eastAsia="zh-CN"/>
              </w:rPr>
              <w:t>[OJL71</w:t>
            </w:r>
            <w:r w:rsidRPr="00E11ED1">
              <w:rPr>
                <w:rFonts w:ascii="Times New Roman" w:hAnsi="Times New Roman" w:hint="eastAsia"/>
                <w:sz w:val="21"/>
                <w:szCs w:val="21"/>
                <w:lang w:eastAsia="zh-CN"/>
              </w:rPr>
              <w:t>，</w:t>
            </w:r>
            <w:r w:rsidRPr="00E11ED1">
              <w:rPr>
                <w:rFonts w:ascii="Times New Roman" w:hAnsi="Times New Roman" w:hint="eastAsia"/>
                <w:sz w:val="21"/>
                <w:szCs w:val="21"/>
                <w:lang w:eastAsia="zh-CN"/>
              </w:rPr>
              <w:t>2015</w:t>
            </w:r>
            <w:r w:rsidRPr="00E11ED1">
              <w:rPr>
                <w:rFonts w:ascii="Times New Roman" w:hAnsi="Times New Roman" w:hint="eastAsia"/>
                <w:sz w:val="21"/>
                <w:szCs w:val="21"/>
                <w:lang w:eastAsia="zh-CN"/>
              </w:rPr>
              <w:t>年</w:t>
            </w:r>
            <w:r w:rsidRPr="00E11ED1">
              <w:rPr>
                <w:rFonts w:ascii="Times New Roman" w:hAnsi="Times New Roman" w:hint="eastAsia"/>
                <w:sz w:val="21"/>
                <w:szCs w:val="21"/>
                <w:lang w:eastAsia="zh-CN"/>
              </w:rPr>
              <w:t>3</w:t>
            </w:r>
            <w:r w:rsidRPr="00E11ED1">
              <w:rPr>
                <w:rFonts w:ascii="Times New Roman" w:hAnsi="Times New Roman" w:hint="eastAsia"/>
                <w:sz w:val="21"/>
                <w:szCs w:val="21"/>
                <w:lang w:eastAsia="zh-CN"/>
              </w:rPr>
              <w:t>月</w:t>
            </w:r>
            <w:r w:rsidRPr="00E11ED1">
              <w:rPr>
                <w:rFonts w:ascii="Times New Roman" w:hAnsi="Times New Roman" w:hint="eastAsia"/>
                <w:sz w:val="21"/>
                <w:szCs w:val="21"/>
                <w:lang w:eastAsia="zh-CN"/>
              </w:rPr>
              <w:t>14</w:t>
            </w:r>
            <w:r w:rsidRPr="00E11ED1">
              <w:rPr>
                <w:rFonts w:ascii="Times New Roman" w:hAnsi="Times New Roman" w:hint="eastAsia"/>
                <w:sz w:val="21"/>
                <w:szCs w:val="21"/>
                <w:lang w:eastAsia="zh-CN"/>
              </w:rPr>
              <w:t>日</w:t>
            </w:r>
            <w:r w:rsidRPr="00E11ED1">
              <w:rPr>
                <w:rFonts w:ascii="Times New Roman" w:hAnsi="Times New Roman" w:hint="eastAsia"/>
                <w:sz w:val="21"/>
                <w:szCs w:val="21"/>
                <w:lang w:eastAsia="zh-CN"/>
              </w:rPr>
              <w:t>,56-113</w:t>
            </w:r>
            <w:r w:rsidRPr="00E11ED1">
              <w:rPr>
                <w:rFonts w:ascii="Times New Roman" w:hAnsi="Times New Roman" w:hint="eastAsia"/>
                <w:sz w:val="21"/>
                <w:szCs w:val="21"/>
                <w:lang w:eastAsia="zh-CN"/>
              </w:rPr>
              <w:t>页</w:t>
            </w:r>
            <w:r w:rsidRPr="00E11ED1">
              <w:rPr>
                <w:rFonts w:ascii="Times New Roman" w:hAnsi="Times New Roman" w:hint="eastAsia"/>
                <w:sz w:val="21"/>
                <w:szCs w:val="21"/>
                <w:lang w:eastAsia="zh-CN"/>
              </w:rPr>
              <w:t>]</w:t>
            </w:r>
            <w:r w:rsidRPr="00E11ED1">
              <w:rPr>
                <w:rFonts w:ascii="Times New Roman" w:hAnsi="Times New Roman" w:hint="eastAsia"/>
                <w:sz w:val="21"/>
                <w:szCs w:val="21"/>
                <w:lang w:eastAsia="zh-CN"/>
              </w:rPr>
              <w:t>。</w:t>
            </w:r>
            <w:r w:rsidRPr="00E11ED1">
              <w:rPr>
                <w:rFonts w:ascii="Times New Roman" w:hAnsi="Times New Roman" w:hint="eastAsia"/>
                <w:sz w:val="21"/>
                <w:szCs w:val="21"/>
                <w:lang w:eastAsia="zh-CN"/>
              </w:rPr>
              <w:cr/>
              <w:t xml:space="preserve">   </w:t>
            </w:r>
            <w:r w:rsidRPr="00E11ED1">
              <w:rPr>
                <w:rFonts w:ascii="Times New Roman" w:hAnsi="Times New Roman" w:hint="eastAsia"/>
                <w:sz w:val="21"/>
                <w:szCs w:val="21"/>
                <w:lang w:eastAsia="zh-CN"/>
              </w:rPr>
              <w:t>本法规已于</w:t>
            </w:r>
            <w:r w:rsidRPr="00E11ED1">
              <w:rPr>
                <w:rFonts w:ascii="Times New Roman" w:hAnsi="Times New Roman" w:hint="eastAsia"/>
                <w:sz w:val="21"/>
                <w:szCs w:val="21"/>
                <w:lang w:eastAsia="zh-CN"/>
              </w:rPr>
              <w:t>2015</w:t>
            </w:r>
            <w:r w:rsidRPr="00E11ED1">
              <w:rPr>
                <w:rFonts w:ascii="Times New Roman" w:hAnsi="Times New Roman" w:hint="eastAsia"/>
                <w:sz w:val="21"/>
                <w:szCs w:val="21"/>
                <w:lang w:eastAsia="zh-CN"/>
              </w:rPr>
              <w:t>年</w:t>
            </w:r>
            <w:r w:rsidRPr="00E11ED1">
              <w:rPr>
                <w:rFonts w:ascii="Times New Roman" w:hAnsi="Times New Roman" w:hint="eastAsia"/>
                <w:sz w:val="21"/>
                <w:szCs w:val="21"/>
                <w:lang w:eastAsia="zh-CN"/>
              </w:rPr>
              <w:t>4</w:t>
            </w:r>
            <w:r w:rsidRPr="00E11ED1">
              <w:rPr>
                <w:rFonts w:ascii="Times New Roman" w:hAnsi="Times New Roman" w:hint="eastAsia"/>
                <w:sz w:val="21"/>
                <w:szCs w:val="21"/>
                <w:lang w:eastAsia="zh-CN"/>
              </w:rPr>
              <w:t>月</w:t>
            </w:r>
            <w:r w:rsidRPr="00E11ED1">
              <w:rPr>
                <w:rFonts w:ascii="Times New Roman" w:hAnsi="Times New Roman" w:hint="eastAsia"/>
                <w:sz w:val="21"/>
                <w:szCs w:val="21"/>
                <w:lang w:eastAsia="zh-CN"/>
              </w:rPr>
              <w:t>3</w:t>
            </w:r>
            <w:r w:rsidRPr="00E11ED1">
              <w:rPr>
                <w:rFonts w:ascii="Times New Roman" w:hAnsi="Times New Roman" w:hint="eastAsia"/>
                <w:sz w:val="21"/>
                <w:szCs w:val="21"/>
                <w:lang w:eastAsia="zh-CN"/>
              </w:rPr>
              <w:t>日生效。</w:t>
            </w:r>
            <w:r w:rsidRPr="00E11ED1">
              <w:rPr>
                <w:rFonts w:ascii="Times New Roman" w:hAnsi="Times New Roman" w:hint="eastAsia"/>
                <w:sz w:val="21"/>
                <w:szCs w:val="21"/>
                <w:lang w:eastAsia="zh-CN"/>
              </w:rPr>
              <w:cr/>
              <w:t>http://members.wto.org/crnattachments/2015/SPS/EEC/15_1654_00_e.pdf</w:t>
            </w:r>
            <w:r w:rsidRPr="00E11ED1">
              <w:rPr>
                <w:rFonts w:ascii="Times New Roman" w:hAnsi="Times New Roman" w:hint="eastAsia"/>
                <w:sz w:val="21"/>
                <w:szCs w:val="21"/>
                <w:lang w:eastAsia="zh-CN"/>
              </w:rPr>
              <w:cr/>
              <w:t>http://members.wto.org/crnattachments/2015/SPS/EEC/15_1654_00_f.pdf</w:t>
            </w:r>
            <w:r w:rsidRPr="00E11ED1">
              <w:rPr>
                <w:rFonts w:ascii="Times New Roman" w:hAnsi="Times New Roman" w:hint="eastAsia"/>
                <w:sz w:val="21"/>
                <w:szCs w:val="21"/>
                <w:lang w:eastAsia="zh-CN"/>
              </w:rPr>
              <w:cr/>
              <w:t>http://members.wto.org/crnattachment</w:t>
            </w:r>
            <w:r>
              <w:rPr>
                <w:rFonts w:ascii="Times New Roman" w:hAnsi="Times New Roman" w:hint="eastAsia"/>
                <w:sz w:val="21"/>
                <w:szCs w:val="21"/>
                <w:lang w:eastAsia="zh-CN"/>
              </w:rPr>
              <w:t>s/2015/SPS/EEC/15_1654_00_s.pdf</w:t>
            </w:r>
          </w:p>
          <w:p w:rsidR="00E11ED1" w:rsidRPr="00E11ED1" w:rsidRDefault="00E11ED1" w:rsidP="00E11ED1">
            <w:pPr>
              <w:adjustRightInd w:val="0"/>
              <w:snapToGrid w:val="0"/>
              <w:ind w:firstLineChars="200" w:firstLine="422"/>
              <w:jc w:val="left"/>
              <w:rPr>
                <w:rFonts w:ascii="Times New Roman" w:hAnsi="Times New Roman"/>
                <w:snapToGrid w:val="0"/>
                <w:sz w:val="21"/>
                <w:szCs w:val="21"/>
                <w:lang w:eastAsia="zh-CN"/>
              </w:rPr>
            </w:pPr>
            <w:r w:rsidRPr="00E11ED1">
              <w:rPr>
                <w:rFonts w:ascii="Times New Roman" w:hAnsi="宋体"/>
                <w:b/>
                <w:snapToGrid w:val="0"/>
                <w:sz w:val="21"/>
                <w:szCs w:val="21"/>
                <w:lang w:eastAsia="zh-CN"/>
              </w:rPr>
              <w:t>该补遗通报涉及</w:t>
            </w:r>
            <w:r w:rsidRPr="00E11ED1">
              <w:rPr>
                <w:rFonts w:ascii="Times New Roman" w:hAnsi="Times New Roman"/>
                <w:snapToGrid w:val="0"/>
                <w:sz w:val="21"/>
                <w:szCs w:val="21"/>
                <w:lang w:eastAsia="zh-CN"/>
              </w:rPr>
              <w:t>:</w:t>
            </w:r>
          </w:p>
          <w:p w:rsidR="00E11ED1" w:rsidRPr="00E11ED1" w:rsidRDefault="00E11ED1" w:rsidP="00E11ED1">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E11ED1">
              <w:rPr>
                <w:rFonts w:ascii="Times New Roman" w:hAnsi="Times New Roman"/>
                <w:snapToGrid w:val="0"/>
                <w:sz w:val="21"/>
                <w:szCs w:val="21"/>
                <w:lang w:eastAsia="zh-CN"/>
              </w:rPr>
              <w:tab/>
              <w:t>[   ]</w:t>
            </w:r>
            <w:r w:rsidRPr="00E11ED1">
              <w:rPr>
                <w:rFonts w:ascii="Times New Roman" w:hAnsi="Times New Roman"/>
                <w:snapToGrid w:val="0"/>
                <w:sz w:val="21"/>
                <w:szCs w:val="21"/>
                <w:lang w:eastAsia="zh-CN"/>
              </w:rPr>
              <w:tab/>
            </w:r>
            <w:r w:rsidRPr="00E11ED1">
              <w:rPr>
                <w:rFonts w:ascii="Times New Roman" w:hAnsi="宋体"/>
                <w:snapToGrid w:val="0"/>
                <w:sz w:val="21"/>
                <w:szCs w:val="21"/>
                <w:lang w:eastAsia="zh-CN"/>
              </w:rPr>
              <w:t>意见反馈截止日期的修订</w:t>
            </w:r>
          </w:p>
          <w:p w:rsidR="00E11ED1" w:rsidRPr="00E11ED1" w:rsidRDefault="00E11ED1" w:rsidP="00E11ED1">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E11ED1">
              <w:rPr>
                <w:rFonts w:ascii="Times New Roman" w:hAnsi="Times New Roman"/>
                <w:snapToGrid w:val="0"/>
                <w:sz w:val="21"/>
                <w:szCs w:val="21"/>
                <w:lang w:eastAsia="zh-CN"/>
              </w:rPr>
              <w:tab/>
              <w:t>[ X ]</w:t>
            </w:r>
            <w:proofErr w:type="gramStart"/>
            <w:r w:rsidRPr="00E11ED1">
              <w:rPr>
                <w:rFonts w:ascii="Times New Roman" w:hAnsi="Times New Roman"/>
                <w:snapToGrid w:val="0"/>
                <w:sz w:val="21"/>
                <w:szCs w:val="21"/>
                <w:lang w:eastAsia="zh-CN"/>
              </w:rPr>
              <w:tab/>
            </w:r>
            <w:r w:rsidRPr="00E11ED1">
              <w:rPr>
                <w:rFonts w:ascii="Times New Roman" w:hAnsi="宋体"/>
                <w:snapToGrid w:val="0"/>
                <w:sz w:val="21"/>
                <w:szCs w:val="21"/>
                <w:lang w:eastAsia="zh-CN"/>
              </w:rPr>
              <w:t>法规</w:t>
            </w:r>
            <w:proofErr w:type="gramEnd"/>
            <w:r w:rsidRPr="00E11ED1">
              <w:rPr>
                <w:rFonts w:ascii="Times New Roman" w:hAnsi="宋体"/>
                <w:snapToGrid w:val="0"/>
                <w:sz w:val="21"/>
                <w:szCs w:val="21"/>
                <w:lang w:eastAsia="zh-CN"/>
              </w:rPr>
              <w:t>批准、生效、公布的通报</w:t>
            </w:r>
          </w:p>
          <w:p w:rsidR="00E11ED1" w:rsidRPr="00E11ED1" w:rsidRDefault="00E11ED1" w:rsidP="00E11ED1">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E11ED1">
              <w:rPr>
                <w:rFonts w:ascii="Times New Roman" w:hAnsi="Times New Roman"/>
                <w:snapToGrid w:val="0"/>
                <w:sz w:val="21"/>
                <w:szCs w:val="21"/>
                <w:lang w:eastAsia="zh-CN"/>
              </w:rPr>
              <w:tab/>
              <w:t>[   ]</w:t>
            </w:r>
            <w:r w:rsidRPr="00E11ED1">
              <w:rPr>
                <w:rFonts w:ascii="Times New Roman" w:hAnsi="Times New Roman"/>
                <w:snapToGrid w:val="0"/>
                <w:sz w:val="21"/>
                <w:szCs w:val="21"/>
                <w:lang w:eastAsia="zh-CN"/>
              </w:rPr>
              <w:tab/>
            </w:r>
            <w:r w:rsidRPr="00E11ED1">
              <w:rPr>
                <w:rFonts w:ascii="Times New Roman" w:hAnsi="宋体"/>
                <w:snapToGrid w:val="0"/>
                <w:sz w:val="21"/>
                <w:szCs w:val="21"/>
                <w:lang w:eastAsia="zh-CN"/>
              </w:rPr>
              <w:t>以前通报的法规草案的内容及</w:t>
            </w:r>
            <w:r w:rsidRPr="00E11ED1">
              <w:rPr>
                <w:rFonts w:ascii="Times New Roman" w:hAnsi="Times New Roman"/>
                <w:snapToGrid w:val="0"/>
                <w:sz w:val="21"/>
                <w:szCs w:val="21"/>
                <w:lang w:eastAsia="zh-CN"/>
              </w:rPr>
              <w:t>/</w:t>
            </w:r>
            <w:r w:rsidRPr="00E11ED1">
              <w:rPr>
                <w:rFonts w:ascii="Times New Roman" w:hAnsi="宋体"/>
                <w:snapToGrid w:val="0"/>
                <w:sz w:val="21"/>
                <w:szCs w:val="21"/>
                <w:lang w:eastAsia="zh-CN"/>
              </w:rPr>
              <w:t>或范围的修改</w:t>
            </w:r>
          </w:p>
          <w:p w:rsidR="00E11ED1" w:rsidRPr="00E11ED1" w:rsidRDefault="00E11ED1" w:rsidP="00E11ED1">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E11ED1">
              <w:rPr>
                <w:rFonts w:ascii="Times New Roman" w:hAnsi="Times New Roman"/>
                <w:snapToGrid w:val="0"/>
                <w:sz w:val="21"/>
                <w:szCs w:val="21"/>
                <w:lang w:eastAsia="zh-CN"/>
              </w:rPr>
              <w:tab/>
              <w:t>[   ]</w:t>
            </w:r>
            <w:r w:rsidRPr="00E11ED1">
              <w:rPr>
                <w:rFonts w:ascii="Times New Roman" w:hAnsi="Times New Roman"/>
                <w:snapToGrid w:val="0"/>
                <w:sz w:val="21"/>
                <w:szCs w:val="21"/>
                <w:lang w:eastAsia="zh-CN"/>
              </w:rPr>
              <w:tab/>
            </w:r>
            <w:r w:rsidRPr="00E11ED1">
              <w:rPr>
                <w:rFonts w:ascii="Times New Roman" w:hAnsi="宋体"/>
                <w:snapToGrid w:val="0"/>
                <w:sz w:val="21"/>
                <w:szCs w:val="21"/>
                <w:lang w:eastAsia="zh-CN"/>
              </w:rPr>
              <w:t>撤消拟定法规</w:t>
            </w:r>
          </w:p>
          <w:p w:rsidR="00E11ED1" w:rsidRPr="00E11ED1" w:rsidRDefault="00E11ED1" w:rsidP="00E11ED1">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E11ED1">
              <w:rPr>
                <w:rFonts w:ascii="Times New Roman" w:hAnsi="Times New Roman"/>
                <w:snapToGrid w:val="0"/>
                <w:sz w:val="21"/>
                <w:szCs w:val="21"/>
                <w:lang w:eastAsia="zh-CN"/>
              </w:rPr>
              <w:tab/>
              <w:t>[   ]</w:t>
            </w:r>
            <w:r w:rsidRPr="00E11ED1">
              <w:rPr>
                <w:rFonts w:ascii="Times New Roman" w:hAnsi="Times New Roman"/>
                <w:snapToGrid w:val="0"/>
                <w:sz w:val="21"/>
                <w:szCs w:val="21"/>
                <w:lang w:eastAsia="zh-CN"/>
              </w:rPr>
              <w:tab/>
            </w:r>
            <w:r w:rsidRPr="00E11ED1">
              <w:rPr>
                <w:rFonts w:ascii="Times New Roman" w:hAnsi="宋体"/>
                <w:snapToGrid w:val="0"/>
                <w:sz w:val="21"/>
                <w:szCs w:val="21"/>
                <w:lang w:eastAsia="zh-CN"/>
              </w:rPr>
              <w:t>更改拟定批准日期</w:t>
            </w:r>
            <w:r w:rsidRPr="00E11ED1">
              <w:rPr>
                <w:rFonts w:ascii="Times New Roman" w:hAnsi="Times New Roman"/>
                <w:snapToGrid w:val="0"/>
                <w:sz w:val="21"/>
                <w:szCs w:val="21"/>
                <w:lang w:eastAsia="zh-CN"/>
              </w:rPr>
              <w:t xml:space="preserve">, </w:t>
            </w:r>
            <w:r w:rsidRPr="00E11ED1">
              <w:rPr>
                <w:rFonts w:ascii="Times New Roman" w:hAnsi="宋体"/>
                <w:snapToGrid w:val="0"/>
                <w:sz w:val="21"/>
                <w:szCs w:val="21"/>
                <w:lang w:eastAsia="zh-CN"/>
              </w:rPr>
              <w:t>公布或生效日期</w:t>
            </w:r>
          </w:p>
          <w:p w:rsidR="00E11ED1" w:rsidRPr="00E11ED1" w:rsidRDefault="00E11ED1" w:rsidP="00E11ED1">
            <w:pPr>
              <w:tabs>
                <w:tab w:val="left" w:pos="720"/>
                <w:tab w:val="left" w:pos="1440"/>
              </w:tabs>
              <w:adjustRightInd w:val="0"/>
              <w:snapToGrid w:val="0"/>
              <w:ind w:left="1440" w:hanging="1440"/>
              <w:jc w:val="left"/>
              <w:rPr>
                <w:rFonts w:ascii="Times New Roman" w:hAnsi="宋体"/>
                <w:snapToGrid w:val="0"/>
                <w:sz w:val="21"/>
                <w:szCs w:val="21"/>
                <w:lang w:eastAsia="zh-CN"/>
              </w:rPr>
            </w:pPr>
            <w:r w:rsidRPr="00E11ED1">
              <w:rPr>
                <w:rFonts w:ascii="Times New Roman" w:hAnsi="Times New Roman"/>
                <w:snapToGrid w:val="0"/>
                <w:sz w:val="21"/>
                <w:szCs w:val="21"/>
                <w:lang w:eastAsia="zh-CN"/>
              </w:rPr>
              <w:tab/>
              <w:t>[   ]</w:t>
            </w:r>
            <w:r w:rsidRPr="00E11ED1">
              <w:rPr>
                <w:rFonts w:ascii="Times New Roman" w:hAnsi="Times New Roman"/>
                <w:snapToGrid w:val="0"/>
                <w:sz w:val="21"/>
                <w:szCs w:val="21"/>
                <w:lang w:eastAsia="zh-CN"/>
              </w:rPr>
              <w:tab/>
            </w:r>
            <w:r w:rsidRPr="00E11ED1">
              <w:rPr>
                <w:rFonts w:ascii="Times New Roman" w:hAnsi="宋体"/>
                <w:snapToGrid w:val="0"/>
                <w:sz w:val="21"/>
                <w:szCs w:val="21"/>
                <w:lang w:eastAsia="zh-CN"/>
              </w:rPr>
              <w:t>其它</w:t>
            </w:r>
            <w:r w:rsidRPr="00E11ED1">
              <w:rPr>
                <w:rFonts w:ascii="Times New Roman" w:hAnsi="宋体"/>
                <w:snapToGrid w:val="0"/>
                <w:sz w:val="21"/>
                <w:szCs w:val="21"/>
                <w:lang w:eastAsia="zh-CN"/>
              </w:rPr>
              <w:t>:</w:t>
            </w:r>
          </w:p>
          <w:p w:rsidR="00E11ED1" w:rsidRPr="00E11ED1" w:rsidRDefault="00E11ED1" w:rsidP="00E11ED1">
            <w:pPr>
              <w:adjustRightInd w:val="0"/>
              <w:snapToGrid w:val="0"/>
              <w:jc w:val="left"/>
              <w:rPr>
                <w:rFonts w:ascii="Times New Roman" w:hAnsi="Times New Roman"/>
                <w:i/>
                <w:snapToGrid w:val="0"/>
                <w:sz w:val="21"/>
                <w:szCs w:val="21"/>
                <w:lang w:eastAsia="zh-CN"/>
              </w:rPr>
            </w:pPr>
            <w:r w:rsidRPr="00E11ED1">
              <w:rPr>
                <w:rFonts w:ascii="Times New Roman" w:hAnsi="宋体"/>
                <w:b/>
                <w:snapToGrid w:val="0"/>
                <w:sz w:val="21"/>
                <w:szCs w:val="21"/>
                <w:lang w:eastAsia="zh-CN"/>
              </w:rPr>
              <w:t>评议期：</w:t>
            </w:r>
            <w:r w:rsidRPr="00E11ED1">
              <w:rPr>
                <w:rFonts w:ascii="Times New Roman" w:hAnsi="Times New Roman"/>
                <w:i/>
                <w:snapToGrid w:val="0"/>
                <w:sz w:val="21"/>
                <w:szCs w:val="21"/>
                <w:lang w:eastAsia="zh-CN"/>
              </w:rPr>
              <w:t>(</w:t>
            </w:r>
            <w:r w:rsidRPr="00E11ED1">
              <w:rPr>
                <w:rFonts w:ascii="Times New Roman" w:hAnsi="宋体"/>
                <w:i/>
                <w:snapToGrid w:val="0"/>
                <w:sz w:val="21"/>
                <w:szCs w:val="21"/>
                <w:lang w:eastAsia="zh-CN"/>
              </w:rPr>
              <w:t>如补遗通知增加了以前通报措施涉及的产品及</w:t>
            </w:r>
            <w:r w:rsidRPr="00E11ED1">
              <w:rPr>
                <w:rFonts w:ascii="Times New Roman" w:hAnsi="Times New Roman"/>
                <w:i/>
                <w:snapToGrid w:val="0"/>
                <w:sz w:val="21"/>
                <w:szCs w:val="21"/>
                <w:lang w:eastAsia="zh-CN"/>
              </w:rPr>
              <w:t>/</w:t>
            </w:r>
            <w:r w:rsidRPr="00E11ED1">
              <w:rPr>
                <w:rFonts w:ascii="Times New Roman" w:hAnsi="宋体"/>
                <w:i/>
                <w:snapToGrid w:val="0"/>
                <w:sz w:val="21"/>
                <w:szCs w:val="21"/>
                <w:lang w:eastAsia="zh-CN"/>
              </w:rPr>
              <w:t>或可能受影响的成员范围，则应提供一个新的接收评议截止日期，通常至少为</w:t>
            </w:r>
            <w:r w:rsidRPr="00E11ED1">
              <w:rPr>
                <w:rFonts w:ascii="Times New Roman" w:hAnsi="Times New Roman"/>
                <w:i/>
                <w:snapToGrid w:val="0"/>
                <w:sz w:val="21"/>
                <w:szCs w:val="21"/>
                <w:lang w:eastAsia="zh-CN"/>
              </w:rPr>
              <w:t>60</w:t>
            </w:r>
            <w:r w:rsidRPr="00E11ED1">
              <w:rPr>
                <w:rFonts w:ascii="Times New Roman" w:hAnsi="宋体"/>
                <w:i/>
                <w:snapToGrid w:val="0"/>
                <w:sz w:val="21"/>
                <w:szCs w:val="21"/>
                <w:lang w:eastAsia="zh-CN"/>
              </w:rPr>
              <w:t>天</w:t>
            </w:r>
            <w:r w:rsidRPr="00E11ED1">
              <w:rPr>
                <w:rFonts w:ascii="Times New Roman" w:hAnsi="宋体"/>
                <w:snapToGrid w:val="0"/>
                <w:sz w:val="21"/>
                <w:szCs w:val="21"/>
                <w:lang w:eastAsia="zh-CN"/>
              </w:rPr>
              <w:t>。</w:t>
            </w:r>
            <w:r w:rsidRPr="00E11ED1">
              <w:rPr>
                <w:rFonts w:ascii="Times New Roman" w:hAnsi="宋体"/>
                <w:i/>
                <w:snapToGrid w:val="0"/>
                <w:sz w:val="21"/>
                <w:szCs w:val="21"/>
                <w:lang w:eastAsia="zh-CN"/>
              </w:rPr>
              <w:t>其它情况，如延长原定的最终评议期，则可以更改补遗通报内的评议期。</w:t>
            </w:r>
            <w:r w:rsidRPr="00E11ED1">
              <w:rPr>
                <w:rFonts w:ascii="Times New Roman" w:hAnsi="Times New Roman"/>
                <w:i/>
                <w:snapToGrid w:val="0"/>
                <w:sz w:val="21"/>
                <w:szCs w:val="21"/>
                <w:lang w:eastAsia="zh-CN"/>
              </w:rPr>
              <w:t>)</w:t>
            </w:r>
          </w:p>
          <w:p w:rsidR="00E11ED1" w:rsidRPr="00E11ED1" w:rsidRDefault="00E11ED1" w:rsidP="00E11ED1">
            <w:pPr>
              <w:tabs>
                <w:tab w:val="left" w:pos="720"/>
                <w:tab w:val="left" w:pos="1440"/>
              </w:tabs>
              <w:adjustRightInd w:val="0"/>
              <w:snapToGrid w:val="0"/>
              <w:ind w:left="1440" w:hanging="1440"/>
              <w:jc w:val="left"/>
              <w:rPr>
                <w:rFonts w:ascii="Times New Roman" w:hAnsi="宋体"/>
                <w:snapToGrid w:val="0"/>
                <w:sz w:val="21"/>
                <w:szCs w:val="21"/>
                <w:lang w:eastAsia="zh-CN"/>
              </w:rPr>
            </w:pPr>
            <w:r w:rsidRPr="00E11ED1">
              <w:rPr>
                <w:rFonts w:ascii="Times New Roman" w:hAnsi="Times New Roman"/>
                <w:snapToGrid w:val="0"/>
                <w:sz w:val="21"/>
                <w:szCs w:val="21"/>
                <w:lang w:eastAsia="zh-CN"/>
              </w:rPr>
              <w:tab/>
            </w:r>
            <w:r w:rsidRPr="00E11ED1">
              <w:rPr>
                <w:rFonts w:ascii="Times New Roman" w:hAnsi="Times New Roman"/>
                <w:snapToGrid w:val="0"/>
                <w:sz w:val="21"/>
                <w:szCs w:val="21"/>
                <w:lang w:eastAsia="zh-CN"/>
              </w:rPr>
              <w:tab/>
              <w:t xml:space="preserve">[ </w:t>
            </w:r>
            <w:r w:rsidRPr="00E11ED1">
              <w:rPr>
                <w:rFonts w:ascii="Times New Roman" w:hAnsi="宋体"/>
                <w:b/>
                <w:snapToGrid w:val="0"/>
                <w:sz w:val="21"/>
                <w:szCs w:val="21"/>
                <w:lang w:eastAsia="zh-CN"/>
              </w:rPr>
              <w:t xml:space="preserve"> ]</w:t>
            </w:r>
            <w:r w:rsidRPr="00E11ED1">
              <w:rPr>
                <w:rFonts w:ascii="Times New Roman" w:hAnsi="宋体"/>
                <w:b/>
                <w:snapToGrid w:val="0"/>
                <w:sz w:val="21"/>
                <w:szCs w:val="21"/>
                <w:lang w:eastAsia="zh-CN"/>
              </w:rPr>
              <w:t>补遗通报发布日后</w:t>
            </w:r>
            <w:r w:rsidRPr="00E11ED1">
              <w:rPr>
                <w:rFonts w:ascii="Times New Roman" w:hAnsi="Times New Roman"/>
                <w:b/>
                <w:snapToGrid w:val="0"/>
                <w:sz w:val="21"/>
                <w:szCs w:val="21"/>
                <w:lang w:eastAsia="zh-CN"/>
              </w:rPr>
              <w:t>60</w:t>
            </w:r>
            <w:r w:rsidRPr="00E11ED1">
              <w:rPr>
                <w:rFonts w:ascii="Times New Roman" w:hAnsi="宋体"/>
                <w:b/>
                <w:snapToGrid w:val="0"/>
                <w:sz w:val="21"/>
                <w:szCs w:val="21"/>
                <w:lang w:eastAsia="zh-CN"/>
              </w:rPr>
              <w:t>天及或</w:t>
            </w:r>
            <w:r w:rsidRPr="00E11ED1">
              <w:rPr>
                <w:rFonts w:ascii="Times New Roman" w:hAnsi="Times New Roman"/>
                <w:b/>
                <w:snapToGrid w:val="0"/>
                <w:sz w:val="21"/>
                <w:szCs w:val="21"/>
                <w:lang w:eastAsia="zh-CN"/>
              </w:rPr>
              <w:t>(</w:t>
            </w:r>
            <w:r w:rsidRPr="00E11ED1">
              <w:rPr>
                <w:rFonts w:ascii="Times New Roman" w:hAnsi="宋体"/>
                <w:b/>
                <w:i/>
                <w:snapToGrid w:val="0"/>
                <w:sz w:val="21"/>
                <w:szCs w:val="21"/>
                <w:lang w:eastAsia="zh-CN"/>
              </w:rPr>
              <w:t>年</w:t>
            </w:r>
            <w:r w:rsidRPr="00E11ED1">
              <w:rPr>
                <w:rFonts w:ascii="Times New Roman" w:hAnsi="Times New Roman"/>
                <w:b/>
                <w:i/>
                <w:snapToGrid w:val="0"/>
                <w:sz w:val="21"/>
                <w:szCs w:val="21"/>
                <w:lang w:eastAsia="zh-CN"/>
              </w:rPr>
              <w:t>/</w:t>
            </w:r>
            <w:r w:rsidRPr="00E11ED1">
              <w:rPr>
                <w:rFonts w:ascii="Times New Roman" w:hAnsi="宋体"/>
                <w:b/>
                <w:i/>
                <w:snapToGrid w:val="0"/>
                <w:sz w:val="21"/>
                <w:szCs w:val="21"/>
                <w:lang w:eastAsia="zh-CN"/>
              </w:rPr>
              <w:t>月</w:t>
            </w:r>
            <w:r w:rsidRPr="00E11ED1">
              <w:rPr>
                <w:rFonts w:ascii="Times New Roman" w:hAnsi="Times New Roman"/>
                <w:b/>
                <w:i/>
                <w:snapToGrid w:val="0"/>
                <w:sz w:val="21"/>
                <w:szCs w:val="21"/>
                <w:lang w:eastAsia="zh-CN"/>
              </w:rPr>
              <w:t>/</w:t>
            </w:r>
            <w:r w:rsidRPr="00E11ED1">
              <w:rPr>
                <w:rFonts w:ascii="Times New Roman" w:hAnsi="宋体"/>
                <w:b/>
                <w:i/>
                <w:snapToGrid w:val="0"/>
                <w:sz w:val="21"/>
                <w:szCs w:val="21"/>
                <w:lang w:eastAsia="zh-CN"/>
              </w:rPr>
              <w:t>日</w:t>
            </w:r>
            <w:r w:rsidRPr="00E11ED1">
              <w:rPr>
                <w:rFonts w:ascii="Times New Roman" w:hAnsi="Times New Roman"/>
                <w:b/>
                <w:i/>
                <w:snapToGrid w:val="0"/>
                <w:sz w:val="21"/>
                <w:szCs w:val="21"/>
                <w:lang w:eastAsia="zh-CN"/>
              </w:rPr>
              <w:t>)</w:t>
            </w:r>
            <w:r w:rsidRPr="00E11ED1">
              <w:rPr>
                <w:rFonts w:ascii="Times New Roman" w:hAnsi="宋体"/>
                <w:b/>
                <w:snapToGrid w:val="0"/>
                <w:sz w:val="21"/>
                <w:szCs w:val="21"/>
                <w:lang w:eastAsia="zh-CN"/>
              </w:rPr>
              <w:t>：</w:t>
            </w:r>
            <w:r w:rsidRPr="00E11ED1">
              <w:rPr>
                <w:rFonts w:ascii="Times New Roman" w:hAnsi="Times New Roman" w:hint="eastAsia"/>
                <w:sz w:val="21"/>
                <w:szCs w:val="21"/>
                <w:lang w:eastAsia="zh-CN"/>
              </w:rPr>
              <w:t>不适用</w:t>
            </w:r>
          </w:p>
          <w:p w:rsidR="00E11ED1" w:rsidRPr="00E11ED1" w:rsidRDefault="00E11ED1" w:rsidP="00E11ED1">
            <w:pPr>
              <w:tabs>
                <w:tab w:val="left" w:pos="720"/>
              </w:tabs>
              <w:adjustRightInd w:val="0"/>
              <w:snapToGrid w:val="0"/>
              <w:jc w:val="left"/>
              <w:rPr>
                <w:rFonts w:ascii="Times New Roman" w:hAnsi="Times New Roman"/>
                <w:sz w:val="21"/>
                <w:szCs w:val="21"/>
                <w:lang w:val="es-ES" w:eastAsia="zh-CN"/>
              </w:rPr>
            </w:pPr>
            <w:r w:rsidRPr="00E11ED1">
              <w:rPr>
                <w:rFonts w:ascii="Times New Roman" w:hAnsi="宋体"/>
                <w:b/>
                <w:snapToGrid w:val="0"/>
                <w:color w:val="000000"/>
                <w:sz w:val="21"/>
                <w:szCs w:val="21"/>
                <w:lang w:eastAsia="zh-CN"/>
              </w:rPr>
              <w:t>负责处理反馈意见的机构</w:t>
            </w:r>
            <w:r w:rsidRPr="00E11ED1">
              <w:rPr>
                <w:rFonts w:ascii="Times New Roman" w:hAnsi="Times New Roman"/>
                <w:b/>
                <w:snapToGrid w:val="0"/>
                <w:color w:val="000000"/>
                <w:sz w:val="21"/>
                <w:szCs w:val="21"/>
                <w:lang w:eastAsia="zh-CN"/>
              </w:rPr>
              <w:t>: [ X ]</w:t>
            </w:r>
            <w:r w:rsidRPr="00E11ED1">
              <w:rPr>
                <w:rFonts w:ascii="Times New Roman" w:hAnsi="宋体"/>
                <w:b/>
                <w:snapToGrid w:val="0"/>
                <w:color w:val="000000"/>
                <w:sz w:val="21"/>
                <w:szCs w:val="21"/>
                <w:lang w:eastAsia="zh-CN"/>
              </w:rPr>
              <w:t>国家通报机构，</w:t>
            </w:r>
            <w:r w:rsidRPr="00E11ED1">
              <w:rPr>
                <w:rFonts w:ascii="Times New Roman" w:hAnsi="Times New Roman"/>
                <w:b/>
                <w:snapToGrid w:val="0"/>
                <w:color w:val="000000"/>
                <w:sz w:val="21"/>
                <w:szCs w:val="21"/>
                <w:lang w:eastAsia="zh-CN"/>
              </w:rPr>
              <w:t>[X ]</w:t>
            </w:r>
            <w:r w:rsidRPr="00E11ED1">
              <w:rPr>
                <w:rFonts w:ascii="Times New Roman" w:hAnsi="宋体"/>
                <w:b/>
                <w:snapToGrid w:val="0"/>
                <w:color w:val="000000"/>
                <w:sz w:val="21"/>
                <w:szCs w:val="21"/>
                <w:lang w:eastAsia="zh-CN"/>
              </w:rPr>
              <w:t>国家咨询点，或其他机构的联系地址、传真及电子邮件地址</w:t>
            </w:r>
            <w:r w:rsidRPr="00E11ED1">
              <w:rPr>
                <w:rFonts w:ascii="Times New Roman" w:hAnsi="Times New Roman"/>
                <w:b/>
                <w:snapToGrid w:val="0"/>
                <w:color w:val="000000"/>
                <w:sz w:val="21"/>
                <w:szCs w:val="21"/>
                <w:lang w:eastAsia="zh-CN"/>
              </w:rPr>
              <w:t>(</w:t>
            </w:r>
            <w:r w:rsidRPr="00E11ED1">
              <w:rPr>
                <w:rFonts w:ascii="Times New Roman" w:hAnsi="宋体"/>
                <w:b/>
                <w:snapToGrid w:val="0"/>
                <w:color w:val="000000"/>
                <w:sz w:val="21"/>
                <w:szCs w:val="21"/>
                <w:lang w:eastAsia="zh-CN"/>
              </w:rPr>
              <w:t>如能提供</w:t>
            </w:r>
            <w:r w:rsidRPr="00E11ED1">
              <w:rPr>
                <w:rFonts w:ascii="Times New Roman" w:hAnsi="宋体"/>
                <w:b/>
                <w:snapToGrid w:val="0"/>
                <w:color w:val="000000"/>
                <w:sz w:val="21"/>
                <w:szCs w:val="21"/>
                <w:lang w:eastAsia="zh-CN"/>
              </w:rPr>
              <w:t xml:space="preserve">): </w:t>
            </w:r>
            <w:r w:rsidRPr="00E11ED1">
              <w:rPr>
                <w:rFonts w:ascii="Times New Roman" w:hAnsi="Times New Roman"/>
                <w:sz w:val="21"/>
                <w:szCs w:val="21"/>
                <w:lang w:val="es-ES" w:eastAsia="zh-CN"/>
              </w:rPr>
              <w:t>EuropeanCommissionDGHealthandConsumers,UnitG6-MultilateralInternationalRelationsRueFroissart101,B-1049BrusselsTel:+(322)2954263Fax:+(322)2998090E-mail:sps@ec.europa.eu</w:t>
            </w:r>
          </w:p>
          <w:p w:rsidR="00E11ED1" w:rsidRPr="00E11ED1" w:rsidRDefault="00E11ED1" w:rsidP="00E11ED1">
            <w:pPr>
              <w:tabs>
                <w:tab w:val="left" w:pos="720"/>
              </w:tabs>
              <w:adjustRightInd w:val="0"/>
              <w:snapToGrid w:val="0"/>
              <w:jc w:val="left"/>
              <w:rPr>
                <w:rFonts w:ascii="Times New Roman" w:hAnsi="宋体"/>
                <w:snapToGrid w:val="0"/>
                <w:color w:val="000000"/>
                <w:sz w:val="21"/>
                <w:szCs w:val="21"/>
                <w:lang w:eastAsia="zh-CN"/>
              </w:rPr>
            </w:pPr>
          </w:p>
          <w:p w:rsidR="00E11ED1" w:rsidRPr="00E11ED1" w:rsidRDefault="00E11ED1" w:rsidP="00E11ED1">
            <w:pPr>
              <w:tabs>
                <w:tab w:val="left" w:pos="720"/>
              </w:tabs>
              <w:adjustRightInd w:val="0"/>
              <w:snapToGrid w:val="0"/>
              <w:jc w:val="left"/>
              <w:rPr>
                <w:rFonts w:ascii="Times New Roman" w:hAnsi="宋体"/>
                <w:snapToGrid w:val="0"/>
                <w:color w:val="000000"/>
                <w:sz w:val="21"/>
                <w:szCs w:val="21"/>
                <w:lang w:val="fr-FR" w:eastAsia="zh-CN"/>
              </w:rPr>
            </w:pPr>
            <w:r w:rsidRPr="00E11ED1">
              <w:rPr>
                <w:rFonts w:ascii="Times New Roman" w:hAnsi="宋体"/>
                <w:b/>
                <w:snapToGrid w:val="0"/>
                <w:color w:val="000000"/>
                <w:sz w:val="21"/>
                <w:szCs w:val="21"/>
                <w:lang w:eastAsia="zh-CN"/>
              </w:rPr>
              <w:t>文本可从以下机构得到</w:t>
            </w:r>
            <w:r w:rsidRPr="00E11ED1">
              <w:rPr>
                <w:rFonts w:ascii="Times New Roman" w:hAnsi="Times New Roman"/>
                <w:b/>
                <w:snapToGrid w:val="0"/>
                <w:color w:val="000000"/>
                <w:sz w:val="21"/>
                <w:szCs w:val="21"/>
                <w:lang w:eastAsia="zh-CN"/>
              </w:rPr>
              <w:t>: [X ]</w:t>
            </w:r>
            <w:r w:rsidRPr="00E11ED1">
              <w:rPr>
                <w:rFonts w:ascii="Times New Roman" w:hAnsi="宋体"/>
                <w:b/>
                <w:snapToGrid w:val="0"/>
                <w:color w:val="000000"/>
                <w:sz w:val="21"/>
                <w:szCs w:val="21"/>
                <w:lang w:eastAsia="zh-CN"/>
              </w:rPr>
              <w:t>国家通报机构，</w:t>
            </w:r>
            <w:r w:rsidRPr="00E11ED1">
              <w:rPr>
                <w:rFonts w:ascii="Times New Roman" w:hAnsi="Times New Roman"/>
                <w:b/>
                <w:snapToGrid w:val="0"/>
                <w:color w:val="000000"/>
                <w:sz w:val="21"/>
                <w:szCs w:val="21"/>
                <w:lang w:eastAsia="zh-CN"/>
              </w:rPr>
              <w:t>[X ]</w:t>
            </w:r>
            <w:r w:rsidRPr="00E11ED1">
              <w:rPr>
                <w:rFonts w:ascii="Times New Roman" w:hAnsi="宋体"/>
                <w:b/>
                <w:snapToGrid w:val="0"/>
                <w:color w:val="000000"/>
                <w:sz w:val="21"/>
                <w:szCs w:val="21"/>
                <w:lang w:eastAsia="zh-CN"/>
              </w:rPr>
              <w:t>国家咨询点，或其它机构的联系地址、传真及电子邮件地址</w:t>
            </w:r>
            <w:r w:rsidRPr="00E11ED1">
              <w:rPr>
                <w:rFonts w:ascii="Times New Roman" w:hAnsi="Times New Roman"/>
                <w:b/>
                <w:snapToGrid w:val="0"/>
                <w:color w:val="000000"/>
                <w:sz w:val="21"/>
                <w:szCs w:val="21"/>
                <w:lang w:eastAsia="zh-CN"/>
              </w:rPr>
              <w:t>(</w:t>
            </w:r>
            <w:r w:rsidRPr="00E11ED1">
              <w:rPr>
                <w:rFonts w:ascii="Times New Roman" w:hAnsi="宋体"/>
                <w:b/>
                <w:snapToGrid w:val="0"/>
                <w:color w:val="000000"/>
                <w:sz w:val="21"/>
                <w:szCs w:val="21"/>
                <w:lang w:eastAsia="zh-CN"/>
              </w:rPr>
              <w:t>如能提供</w:t>
            </w:r>
            <w:r w:rsidRPr="00E11ED1">
              <w:rPr>
                <w:rFonts w:ascii="Times New Roman" w:hAnsi="宋体"/>
                <w:b/>
                <w:snapToGrid w:val="0"/>
                <w:color w:val="000000"/>
                <w:sz w:val="21"/>
                <w:szCs w:val="21"/>
                <w:lang w:eastAsia="zh-CN"/>
              </w:rPr>
              <w:t xml:space="preserve">): </w:t>
            </w:r>
            <w:r w:rsidRPr="00E11ED1">
              <w:rPr>
                <w:rFonts w:ascii="Times New Roman" w:hAnsi="Times New Roman"/>
                <w:sz w:val="21"/>
                <w:szCs w:val="21"/>
                <w:lang w:val="es-ES" w:eastAsia="zh-CN"/>
              </w:rPr>
              <w:br/>
              <w:t>EuropeanCommissionDGHealthandConsumers,UnitG6-MultilateralInternationalRelationsRueFroissart101,B-1049BrusselsTel:+(322)2954263Fax:+(322)2998090E-mail:sps@ec.europa.eu</w:t>
            </w:r>
          </w:p>
          <w:p w:rsidR="00E11ED1" w:rsidRPr="00E11ED1" w:rsidRDefault="00E11ED1" w:rsidP="00E11ED1">
            <w:pPr>
              <w:tabs>
                <w:tab w:val="left" w:pos="0"/>
                <w:tab w:val="left" w:pos="720"/>
              </w:tabs>
              <w:suppressAutoHyphens/>
              <w:adjustRightInd w:val="0"/>
              <w:snapToGrid w:val="0"/>
              <w:jc w:val="left"/>
              <w:rPr>
                <w:rFonts w:ascii="Times New Roman" w:hAnsi="宋体"/>
                <w:spacing w:val="-2"/>
                <w:sz w:val="21"/>
                <w:szCs w:val="21"/>
                <w:lang w:val="fr-FR" w:eastAsia="zh-CN"/>
              </w:rPr>
            </w:pPr>
          </w:p>
          <w:p w:rsidR="00E11ED1" w:rsidRPr="00E11ED1" w:rsidRDefault="00E11ED1" w:rsidP="00E11ED1">
            <w:pPr>
              <w:tabs>
                <w:tab w:val="left" w:pos="720"/>
              </w:tabs>
              <w:jc w:val="left"/>
              <w:rPr>
                <w:rFonts w:ascii="Times New Roman" w:hAnsi="Times New Roman"/>
                <w:sz w:val="21"/>
                <w:szCs w:val="21"/>
                <w:lang w:val="fr-FR" w:eastAsia="zh-CN"/>
              </w:rPr>
            </w:pPr>
          </w:p>
        </w:tc>
      </w:tr>
    </w:tbl>
    <w:p w:rsidR="00E11ED1" w:rsidRPr="00E11ED1" w:rsidRDefault="00E11ED1" w:rsidP="00E11ED1">
      <w:pPr>
        <w:tabs>
          <w:tab w:val="left" w:pos="720"/>
        </w:tabs>
        <w:rPr>
          <w:rFonts w:ascii="Times New Roman" w:hAnsi="Times New Roman"/>
          <w:sz w:val="22"/>
          <w:szCs w:val="20"/>
          <w:lang w:val="fr-FR" w:eastAsia="zh-CN"/>
        </w:rPr>
      </w:pPr>
      <w:bookmarkStart w:id="27" w:name="_GoBack"/>
      <w:bookmarkEnd w:id="27"/>
    </w:p>
    <w:p w:rsidR="00A16CCD" w:rsidRPr="00E11ED1" w:rsidRDefault="00A16CCD" w:rsidP="00E11ED1">
      <w:pPr>
        <w:rPr>
          <w:lang w:val="fr-FR" w:eastAsia="zh-CN"/>
        </w:rPr>
      </w:pPr>
    </w:p>
    <w:sectPr w:rsidR="00A16CCD" w:rsidRPr="00E11ED1">
      <w:headerReference w:type="default" r:id="rId12"/>
      <w:footerReference w:type="even" r:id="rId13"/>
      <w:footerReference w:type="default" r:id="rId14"/>
      <w:footerReference w:type="first" r:id="rId15"/>
      <w:pgSz w:w="11907" w:h="16160"/>
      <w:pgMar w:top="1418" w:right="1440" w:bottom="1418" w:left="144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A52" w:rsidRDefault="00B94A52" w:rsidP="00A16CCD">
      <w:r>
        <w:separator/>
      </w:r>
    </w:p>
  </w:endnote>
  <w:endnote w:type="continuationSeparator" w:id="0">
    <w:p w:rsidR="00B94A52" w:rsidRDefault="00B94A52"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A52" w:rsidRDefault="00B94A52" w:rsidP="00A16CCD">
      <w:r>
        <w:separator/>
      </w:r>
    </w:p>
  </w:footnote>
  <w:footnote w:type="continuationSeparator" w:id="0">
    <w:p w:rsidR="00B94A52" w:rsidRDefault="00B94A52"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00C9"/>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0376D"/>
    <w:rsid w:val="00515949"/>
    <w:rsid w:val="00540C84"/>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54715"/>
    <w:rsid w:val="00995A50"/>
    <w:rsid w:val="009B7D0C"/>
    <w:rsid w:val="009C01AE"/>
    <w:rsid w:val="009E03AF"/>
    <w:rsid w:val="009E3C21"/>
    <w:rsid w:val="009F6F03"/>
    <w:rsid w:val="00A16CCD"/>
    <w:rsid w:val="00A2560E"/>
    <w:rsid w:val="00A7281D"/>
    <w:rsid w:val="00AA1097"/>
    <w:rsid w:val="00AC5975"/>
    <w:rsid w:val="00AD3615"/>
    <w:rsid w:val="00AD799C"/>
    <w:rsid w:val="00B3076C"/>
    <w:rsid w:val="00B73C74"/>
    <w:rsid w:val="00B80866"/>
    <w:rsid w:val="00B94A52"/>
    <w:rsid w:val="00BB2E4C"/>
    <w:rsid w:val="00BF7592"/>
    <w:rsid w:val="00C3741B"/>
    <w:rsid w:val="00C870CA"/>
    <w:rsid w:val="00CC760F"/>
    <w:rsid w:val="00CD2790"/>
    <w:rsid w:val="00CF0341"/>
    <w:rsid w:val="00CF200D"/>
    <w:rsid w:val="00CF30D3"/>
    <w:rsid w:val="00D03128"/>
    <w:rsid w:val="00D10AF1"/>
    <w:rsid w:val="00D16E8C"/>
    <w:rsid w:val="00D31524"/>
    <w:rsid w:val="00D83B95"/>
    <w:rsid w:val="00D9501F"/>
    <w:rsid w:val="00DA2B18"/>
    <w:rsid w:val="00DB4CE8"/>
    <w:rsid w:val="00DC73D9"/>
    <w:rsid w:val="00DC7E48"/>
    <w:rsid w:val="00DD3F66"/>
    <w:rsid w:val="00DE37DC"/>
    <w:rsid w:val="00E11ED1"/>
    <w:rsid w:val="00E80EB2"/>
    <w:rsid w:val="00E94C38"/>
    <w:rsid w:val="00E95CFC"/>
    <w:rsid w:val="00EA3BF7"/>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462">
      <w:bodyDiv w:val="1"/>
      <w:marLeft w:val="0"/>
      <w:marRight w:val="0"/>
      <w:marTop w:val="0"/>
      <w:marBottom w:val="0"/>
      <w:divBdr>
        <w:top w:val="none" w:sz="0" w:space="0" w:color="auto"/>
        <w:left w:val="none" w:sz="0" w:space="0" w:color="auto"/>
        <w:bottom w:val="none" w:sz="0" w:space="0" w:color="auto"/>
        <w:right w:val="none" w:sz="0" w:space="0" w:color="auto"/>
      </w:divBdr>
    </w:div>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418252462">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399939475">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1605379477">
      <w:bodyDiv w:val="1"/>
      <w:marLeft w:val="0"/>
      <w:marRight w:val="0"/>
      <w:marTop w:val="0"/>
      <w:marBottom w:val="0"/>
      <w:divBdr>
        <w:top w:val="none" w:sz="0" w:space="0" w:color="auto"/>
        <w:left w:val="none" w:sz="0" w:space="0" w:color="auto"/>
        <w:bottom w:val="none" w:sz="0" w:space="0" w:color="auto"/>
        <w:right w:val="none" w:sz="0" w:space="0" w:color="auto"/>
      </w:divBdr>
    </w:div>
    <w:div w:id="1824085385">
      <w:bodyDiv w:val="1"/>
      <w:marLeft w:val="0"/>
      <w:marRight w:val="0"/>
      <w:marTop w:val="0"/>
      <w:marBottom w:val="0"/>
      <w:divBdr>
        <w:top w:val="none" w:sz="0" w:space="0" w:color="auto"/>
        <w:left w:val="none" w:sz="0" w:space="0" w:color="auto"/>
        <w:bottom w:val="none" w:sz="0" w:space="0" w:color="auto"/>
        <w:right w:val="none" w:sz="0" w:space="0" w:color="auto"/>
      </w:divBdr>
    </w:div>
    <w:div w:id="1913193750">
      <w:bodyDiv w:val="1"/>
      <w:marLeft w:val="0"/>
      <w:marRight w:val="0"/>
      <w:marTop w:val="0"/>
      <w:marBottom w:val="0"/>
      <w:divBdr>
        <w:top w:val="none" w:sz="0" w:space="0" w:color="auto"/>
        <w:left w:val="none" w:sz="0" w:space="0" w:color="auto"/>
        <w:bottom w:val="none" w:sz="0" w:space="0" w:color="auto"/>
        <w:right w:val="none" w:sz="0" w:space="0" w:color="auto"/>
      </w:divBdr>
    </w:div>
    <w:div w:id="1918860281">
      <w:bodyDiv w:val="1"/>
      <w:marLeft w:val="0"/>
      <w:marRight w:val="0"/>
      <w:marTop w:val="0"/>
      <w:marBottom w:val="0"/>
      <w:divBdr>
        <w:top w:val="none" w:sz="0" w:space="0" w:color="auto"/>
        <w:left w:val="none" w:sz="0" w:space="0" w:color="auto"/>
        <w:bottom w:val="none" w:sz="0" w:space="0" w:color="auto"/>
        <w:right w:val="none" w:sz="0" w:space="0" w:color="auto"/>
      </w:divBdr>
    </w:div>
    <w:div w:id="1997562376">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embers.wto.org/crnattachments/2015/SPS/EEC/15_1654_00_s.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members.wto.org/crnattachments/2015/SPS/EEC/15_1654_00_f.pdf" TargetMode="External"/><Relationship Id="rId4" Type="http://schemas.openxmlformats.org/officeDocument/2006/relationships/settings" Target="settings.xml"/><Relationship Id="rId9" Type="http://schemas.openxmlformats.org/officeDocument/2006/relationships/hyperlink" Target="http://members.wto.org/crnattachments/2015/SPS/EEC/15_1654_00_e.pdf"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4101</Characters>
  <Application>Microsoft Office Word</Application>
  <DocSecurity>0</DocSecurity>
  <Lines>34</Lines>
  <Paragraphs>9</Paragraphs>
  <ScaleCrop>false</ScaleCrop>
  <LinksUpToDate>false</LinksUpToDate>
  <CharactersWithSpaces>4811</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2015-05-05T08:41:00Z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