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A0445E" w:rsidRPr="00AD0FDA" w:rsidTr="00B66BAC">
        <w:trPr>
          <w:trHeight w:val="240"/>
          <w:jc w:val="center"/>
        </w:trPr>
        <w:tc>
          <w:tcPr>
            <w:tcW w:w="3794" w:type="dxa"/>
            <w:shd w:val="clear" w:color="auto" w:fill="FFFFFF"/>
            <w:tcMar>
              <w:left w:w="108" w:type="dxa"/>
              <w:right w:w="108" w:type="dxa"/>
            </w:tcMar>
            <w:vAlign w:val="center"/>
          </w:tcPr>
          <w:p w:rsidR="00A0445E" w:rsidRPr="00AD0FDA" w:rsidRDefault="00A0445E" w:rsidP="00B66BA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A0445E" w:rsidRPr="00AD0FDA" w:rsidRDefault="00A0445E" w:rsidP="00B66BAC">
            <w:pPr>
              <w:jc w:val="right"/>
              <w:rPr>
                <w:b/>
                <w:color w:val="FF0000"/>
                <w:szCs w:val="16"/>
              </w:rPr>
            </w:pPr>
            <w:r>
              <w:rPr>
                <w:b/>
                <w:color w:val="FF0000"/>
                <w:szCs w:val="16"/>
              </w:rPr>
              <w:t xml:space="preserve"> </w:t>
            </w:r>
          </w:p>
        </w:tc>
      </w:tr>
      <w:bookmarkEnd w:id="0"/>
      <w:tr w:rsidR="00A0445E" w:rsidRPr="00AD0FDA" w:rsidTr="00B66BAC">
        <w:trPr>
          <w:trHeight w:val="213"/>
          <w:jc w:val="center"/>
        </w:trPr>
        <w:tc>
          <w:tcPr>
            <w:tcW w:w="3794" w:type="dxa"/>
            <w:vMerge w:val="restart"/>
            <w:shd w:val="clear" w:color="auto" w:fill="FFFFFF"/>
            <w:tcMar>
              <w:left w:w="0" w:type="dxa"/>
              <w:right w:w="0" w:type="dxa"/>
            </w:tcMar>
          </w:tcPr>
          <w:p w:rsidR="00A0445E" w:rsidRPr="00AD0FDA" w:rsidRDefault="00A0445E" w:rsidP="00B66BAC">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A0445E" w:rsidRPr="00AD0FDA" w:rsidRDefault="00A0445E" w:rsidP="00B66BAC">
            <w:pPr>
              <w:jc w:val="right"/>
              <w:rPr>
                <w:b/>
                <w:szCs w:val="16"/>
              </w:rPr>
            </w:pPr>
          </w:p>
        </w:tc>
      </w:tr>
      <w:tr w:rsidR="00A0445E" w:rsidRPr="00A75FEA" w:rsidTr="00B66BAC">
        <w:trPr>
          <w:trHeight w:val="868"/>
          <w:jc w:val="center"/>
        </w:trPr>
        <w:tc>
          <w:tcPr>
            <w:tcW w:w="3794" w:type="dxa"/>
            <w:vMerge/>
            <w:shd w:val="clear" w:color="auto" w:fill="FFFFFF"/>
            <w:tcMar>
              <w:left w:w="108" w:type="dxa"/>
              <w:right w:w="108" w:type="dxa"/>
            </w:tcMar>
          </w:tcPr>
          <w:p w:rsidR="00A0445E" w:rsidRPr="00AD0FDA" w:rsidRDefault="00A0445E" w:rsidP="00B66BAC">
            <w:pPr>
              <w:jc w:val="left"/>
              <w:rPr>
                <w:noProof/>
                <w:lang w:eastAsia="en-GB"/>
              </w:rPr>
            </w:pPr>
          </w:p>
        </w:tc>
        <w:tc>
          <w:tcPr>
            <w:tcW w:w="5448" w:type="dxa"/>
            <w:gridSpan w:val="2"/>
            <w:shd w:val="clear" w:color="auto" w:fill="FFFFFF"/>
            <w:tcMar>
              <w:left w:w="108" w:type="dxa"/>
              <w:right w:w="108" w:type="dxa"/>
            </w:tcMar>
          </w:tcPr>
          <w:p w:rsidR="00A0445E" w:rsidRPr="00A75FEA" w:rsidRDefault="00A0445E" w:rsidP="00B66BAC">
            <w:pPr>
              <w:jc w:val="right"/>
              <w:rPr>
                <w:b/>
                <w:szCs w:val="16"/>
                <w:lang w:val="fr-CH"/>
              </w:rPr>
            </w:pPr>
            <w:bookmarkStart w:id="1" w:name="bmkSymbols"/>
            <w:r w:rsidRPr="00A75FEA">
              <w:rPr>
                <w:b/>
                <w:szCs w:val="16"/>
                <w:lang w:val="fr-CH"/>
              </w:rPr>
              <w:t>G/SPS/N/EU/71/Add.1</w:t>
            </w:r>
          </w:p>
          <w:bookmarkEnd w:id="1"/>
          <w:p w:rsidR="00A0445E" w:rsidRPr="00A75FEA" w:rsidRDefault="00A0445E" w:rsidP="00B66BAC">
            <w:pPr>
              <w:jc w:val="right"/>
              <w:rPr>
                <w:b/>
                <w:szCs w:val="16"/>
                <w:lang w:val="fr-CH"/>
              </w:rPr>
            </w:pPr>
          </w:p>
        </w:tc>
      </w:tr>
      <w:tr w:rsidR="00A0445E" w:rsidRPr="00A75FEA" w:rsidTr="00B66BAC">
        <w:trPr>
          <w:trHeight w:val="240"/>
          <w:jc w:val="center"/>
        </w:trPr>
        <w:tc>
          <w:tcPr>
            <w:tcW w:w="3794" w:type="dxa"/>
            <w:vMerge/>
            <w:shd w:val="clear" w:color="auto" w:fill="FFFFFF"/>
            <w:tcMar>
              <w:left w:w="108" w:type="dxa"/>
              <w:right w:w="108" w:type="dxa"/>
            </w:tcMar>
            <w:vAlign w:val="center"/>
          </w:tcPr>
          <w:p w:rsidR="00A0445E" w:rsidRPr="00A75FEA" w:rsidRDefault="00A0445E" w:rsidP="00B66BAC">
            <w:pPr>
              <w:rPr>
                <w:lang w:val="fr-CH"/>
              </w:rPr>
            </w:pPr>
          </w:p>
        </w:tc>
        <w:tc>
          <w:tcPr>
            <w:tcW w:w="5448" w:type="dxa"/>
            <w:gridSpan w:val="2"/>
            <w:shd w:val="clear" w:color="auto" w:fill="FFFFFF"/>
            <w:tcMar>
              <w:left w:w="108" w:type="dxa"/>
              <w:right w:w="108" w:type="dxa"/>
            </w:tcMar>
            <w:vAlign w:val="center"/>
          </w:tcPr>
          <w:p w:rsidR="00A0445E" w:rsidRPr="00A75FEA" w:rsidRDefault="00A0445E" w:rsidP="00B66BAC">
            <w:pPr>
              <w:jc w:val="right"/>
              <w:rPr>
                <w:szCs w:val="16"/>
                <w:lang w:val="fr-CH"/>
              </w:rPr>
            </w:pPr>
            <w:bookmarkStart w:id="2" w:name="bmkDate"/>
            <w:bookmarkStart w:id="3" w:name="spsDateDistribution"/>
            <w:r>
              <w:rPr>
                <w:szCs w:val="16"/>
                <w:lang w:val="fr-CH"/>
              </w:rPr>
              <w:t>1 April 2015</w:t>
            </w:r>
            <w:r w:rsidRPr="00A75FEA">
              <w:rPr>
                <w:szCs w:val="16"/>
                <w:lang w:val="fr-CH"/>
              </w:rPr>
              <w:t xml:space="preserve"> </w:t>
            </w:r>
            <w:bookmarkEnd w:id="2"/>
            <w:bookmarkEnd w:id="3"/>
          </w:p>
        </w:tc>
      </w:tr>
      <w:tr w:rsidR="00A0445E" w:rsidRPr="00AD0FDA" w:rsidTr="00B66BA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A0445E" w:rsidRPr="00AD0FDA" w:rsidRDefault="00A0445E" w:rsidP="00B66BAC">
            <w:pPr>
              <w:jc w:val="left"/>
              <w:rPr>
                <w:b/>
              </w:rPr>
            </w:pPr>
            <w:bookmarkStart w:id="4" w:name="bmkSerial"/>
            <w:r>
              <w:rPr>
                <w:color w:val="FF0000"/>
                <w:szCs w:val="16"/>
              </w:rPr>
              <w:t>(15-1802</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A0445E" w:rsidRPr="00AD0FDA" w:rsidRDefault="00A0445E" w:rsidP="00B66BAC">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A0445E" w:rsidRPr="00AD0FDA" w:rsidTr="00B66BA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A0445E" w:rsidRPr="00AD0FDA" w:rsidRDefault="00A0445E" w:rsidP="00B66BA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A0445E" w:rsidRPr="00AD0FDA" w:rsidRDefault="00A0445E" w:rsidP="00B66BAC">
            <w:pPr>
              <w:jc w:val="right"/>
              <w:rPr>
                <w:bCs/>
                <w:szCs w:val="18"/>
              </w:rPr>
            </w:pPr>
            <w:bookmarkStart w:id="7" w:name="bmkLanguage"/>
            <w:r>
              <w:rPr>
                <w:bCs/>
                <w:szCs w:val="18"/>
              </w:rPr>
              <w:t>Original: English</w:t>
            </w:r>
            <w:bookmarkEnd w:id="7"/>
          </w:p>
        </w:tc>
      </w:tr>
    </w:tbl>
    <w:p w:rsidR="00A0445E" w:rsidRPr="001F2FC2" w:rsidRDefault="00A0445E" w:rsidP="00A0445E">
      <w:pPr>
        <w:pStyle w:val="a6"/>
        <w:spacing w:before="0" w:after="0"/>
      </w:pPr>
      <w:r w:rsidRPr="001F2FC2">
        <w:t>NOTIFICATION</w:t>
      </w:r>
    </w:p>
    <w:p w:rsidR="00A0445E" w:rsidRPr="001F2FC2" w:rsidRDefault="00A0445E" w:rsidP="00A0445E">
      <w:pPr>
        <w:pStyle w:val="Title3"/>
        <w:spacing w:after="0"/>
      </w:pPr>
      <w:r w:rsidRPr="001F2FC2">
        <w:t>Addendum</w:t>
      </w:r>
    </w:p>
    <w:p w:rsidR="00A0445E" w:rsidRPr="00A0445E" w:rsidRDefault="00A0445E" w:rsidP="00A0445E">
      <w:pPr>
        <w:rPr>
          <w:rFonts w:hint="eastAsia"/>
          <w:lang w:eastAsia="zh-CN"/>
        </w:rPr>
      </w:pPr>
      <w:r w:rsidRPr="001F2FC2">
        <w:t xml:space="preserve">The following communication, received on </w:t>
      </w:r>
      <w:bookmarkStart w:id="8" w:name="spsDateReception"/>
      <w:bookmarkStart w:id="9" w:name="spsDateCommunication"/>
      <w:r w:rsidRPr="001F2FC2">
        <w:t>30 March 2015</w:t>
      </w:r>
      <w:bookmarkEnd w:id="8"/>
      <w:bookmarkEnd w:id="9"/>
      <w:r w:rsidRPr="001F2FC2">
        <w:t xml:space="preserve">, is being circulated at the request of the Delegation </w:t>
      </w:r>
      <w:r>
        <w:t xml:space="preserve">of the </w:t>
      </w:r>
      <w:bookmarkStart w:id="10" w:name="spsMember"/>
      <w:r w:rsidRPr="001F2FC2">
        <w:rPr>
          <w:u w:val="single"/>
        </w:rPr>
        <w:t>European Union</w:t>
      </w:r>
      <w:bookmarkEnd w:id="10"/>
      <w:r w:rsidRPr="001F2FC2">
        <w:t>.</w:t>
      </w:r>
    </w:p>
    <w:tbl>
      <w:tblPr>
        <w:tblW w:w="0" w:type="auto"/>
        <w:tblLayout w:type="fixed"/>
        <w:tblLook w:val="01E0"/>
      </w:tblPr>
      <w:tblGrid>
        <w:gridCol w:w="9242"/>
      </w:tblGrid>
      <w:tr w:rsidR="00A0445E" w:rsidRPr="0060296C" w:rsidTr="00B66BAC">
        <w:tc>
          <w:tcPr>
            <w:tcW w:w="9242" w:type="dxa"/>
          </w:tcPr>
          <w:p w:rsidR="00A0445E" w:rsidRPr="0060296C" w:rsidRDefault="00A0445E" w:rsidP="00A0445E">
            <w:pPr>
              <w:rPr>
                <w:u w:val="single"/>
              </w:rPr>
            </w:pPr>
            <w:bookmarkStart w:id="11" w:name="spsTitle"/>
            <w:r w:rsidRPr="0060296C">
              <w:rPr>
                <w:u w:val="single"/>
              </w:rPr>
              <w:t>MRLs for benfuracarb, carbaryl, carbofuran, carbosulfan, furathiocarb, procymidone and profenofos</w:t>
            </w:r>
            <w:bookmarkEnd w:id="11"/>
          </w:p>
        </w:tc>
      </w:tr>
      <w:tr w:rsidR="00A0445E" w:rsidRPr="0060296C" w:rsidTr="00B66BAC">
        <w:tc>
          <w:tcPr>
            <w:tcW w:w="9242" w:type="dxa"/>
          </w:tcPr>
          <w:p w:rsidR="00A0445E" w:rsidRPr="0060296C" w:rsidRDefault="00A0445E" w:rsidP="00A0445E">
            <w:pPr>
              <w:rPr>
                <w:u w:val="single"/>
              </w:rPr>
            </w:pPr>
            <w:bookmarkStart w:id="12" w:name="spsMeasure"/>
            <w:r w:rsidRPr="0060296C">
              <w:t>The proposal notified in G/SPS/N/EU/71 (4 April 2014) has been adopted as:</w:t>
            </w:r>
          </w:p>
          <w:p w:rsidR="00A0445E" w:rsidRPr="0060296C" w:rsidRDefault="00A0445E" w:rsidP="00A0445E">
            <w:pPr>
              <w:numPr>
                <w:ilvl w:val="0"/>
                <w:numId w:val="34"/>
              </w:numPr>
              <w:ind w:left="350" w:hanging="378"/>
            </w:pPr>
            <w:r w:rsidRPr="0060296C">
              <w:t>"Commission Regulation (EU) No 1096/2014 of 15 October 2014 amending Annexes II, III and V to Regulation (EC) No 396/2005 of the European Parliament and of the Council as regards maximum residue levels for carbaryl, procymidone and profenofos in or on certain products (Text with EEA relevance)" [OJ L 300, 18</w:t>
            </w:r>
            <w:r>
              <w:t xml:space="preserve"> October </w:t>
            </w:r>
            <w:r w:rsidRPr="0060296C">
              <w:t>2014, p. 5-38]; and</w:t>
            </w:r>
          </w:p>
          <w:p w:rsidR="00A0445E" w:rsidRPr="0060296C" w:rsidRDefault="00A0445E" w:rsidP="00A0445E">
            <w:pPr>
              <w:numPr>
                <w:ilvl w:val="0"/>
                <w:numId w:val="34"/>
              </w:numPr>
              <w:ind w:left="350"/>
            </w:pPr>
            <w:r w:rsidRPr="0060296C">
              <w:t>"Commission Regulation (EU) 2015/399 of 25 February 2015 amending Annexes II, III and V to Regulation (EC) No 396/2005 of the European Parliament and of the Council as regards maximum residue levels for 1,4-dimethylnaphthalene, benfuracarb, carbofuran, carbosulfan, ethephon, fenamidone, fenvalerate, fenhexamid, furathiocarb, imazapyr, malathion, picoxystrobin, spirotetramat, tepraloxydim and trifloxystrobin in or on certain products (Text with EEA relevance)"</w:t>
            </w:r>
            <w:r>
              <w:t xml:space="preserve"> [OJ L 71, 14 March 2015, p. 1-55].</w:t>
            </w:r>
          </w:p>
          <w:p w:rsidR="00A0445E" w:rsidRPr="0060296C" w:rsidRDefault="00A0445E" w:rsidP="00A0445E">
            <w:r w:rsidRPr="0060296C">
              <w:t>These Regulations will enter into force on 7 May 2015 and 3 October 2015, respectively.</w:t>
            </w:r>
          </w:p>
          <w:p w:rsidR="00A0445E" w:rsidRPr="0060296C" w:rsidRDefault="00A0445E" w:rsidP="00A0445E">
            <w:hyperlink r:id="rId8" w:history="1">
              <w:r w:rsidRPr="00A75FEA">
                <w:rPr>
                  <w:rStyle w:val="af3"/>
                </w:rPr>
                <w:t>http://members.wto.org/crnattachments/2015/SPS/EEC/15_1432_00_e.pdf</w:t>
              </w:r>
            </w:hyperlink>
          </w:p>
          <w:p w:rsidR="00A0445E" w:rsidRPr="0060296C" w:rsidRDefault="00A0445E" w:rsidP="00A0445E">
            <w:hyperlink r:id="rId9" w:history="1">
              <w:r w:rsidRPr="00A75FEA">
                <w:rPr>
                  <w:rStyle w:val="af3"/>
                </w:rPr>
                <w:t>http://members.wto.org/crnattachments/2015/SPS/EEC/15_1432_00_f.pdf</w:t>
              </w:r>
            </w:hyperlink>
          </w:p>
          <w:p w:rsidR="00A0445E" w:rsidRPr="0060296C" w:rsidRDefault="00A0445E" w:rsidP="00A0445E">
            <w:hyperlink r:id="rId10" w:history="1">
              <w:r w:rsidRPr="00A75FEA">
                <w:rPr>
                  <w:rStyle w:val="af3"/>
                </w:rPr>
                <w:t>http://members.wto.org/crnattachments/2015/SPS/EEC/15_1432_00_s.pdf</w:t>
              </w:r>
            </w:hyperlink>
          </w:p>
          <w:p w:rsidR="00A0445E" w:rsidRPr="0060296C" w:rsidRDefault="00A0445E" w:rsidP="00A0445E">
            <w:hyperlink r:id="rId11" w:history="1">
              <w:r w:rsidRPr="00A75FEA">
                <w:rPr>
                  <w:rStyle w:val="af3"/>
                </w:rPr>
                <w:t>http://members.wto.org/crnattachments/2015/SPS/EEC/15_1432_01_e.pdf</w:t>
              </w:r>
            </w:hyperlink>
          </w:p>
          <w:p w:rsidR="00A0445E" w:rsidRPr="0060296C" w:rsidRDefault="00A0445E" w:rsidP="00A0445E">
            <w:hyperlink r:id="rId12" w:history="1">
              <w:r w:rsidRPr="00A75FEA">
                <w:rPr>
                  <w:rStyle w:val="af3"/>
                </w:rPr>
                <w:t>http://members.wto.org/crnattachments/2015/SPS/EEC/15_1432_01_f.pdf</w:t>
              </w:r>
            </w:hyperlink>
          </w:p>
          <w:p w:rsidR="00A0445E" w:rsidRPr="0060296C" w:rsidRDefault="00A0445E" w:rsidP="00A0445E">
            <w:hyperlink r:id="rId13" w:history="1">
              <w:r w:rsidRPr="00A75FEA">
                <w:rPr>
                  <w:rStyle w:val="af3"/>
                </w:rPr>
                <w:t>http://members.wto.org/crnattachments/2015/SPS/EEC/15_1432_01_s.pdf</w:t>
              </w:r>
              <w:bookmarkEnd w:id="12"/>
            </w:hyperlink>
          </w:p>
        </w:tc>
      </w:tr>
      <w:tr w:rsidR="00A0445E" w:rsidRPr="0060296C" w:rsidTr="00B66BAC">
        <w:tc>
          <w:tcPr>
            <w:tcW w:w="9242" w:type="dxa"/>
          </w:tcPr>
          <w:p w:rsidR="00A0445E" w:rsidRPr="0060296C" w:rsidRDefault="00A0445E" w:rsidP="00A0445E">
            <w:pPr>
              <w:rPr>
                <w:b/>
              </w:rPr>
            </w:pPr>
            <w:r w:rsidRPr="0060296C">
              <w:rPr>
                <w:b/>
              </w:rPr>
              <w:t>This addendum concerns a:</w:t>
            </w:r>
          </w:p>
        </w:tc>
      </w:tr>
      <w:tr w:rsidR="00A0445E" w:rsidRPr="0060296C" w:rsidTr="00B66BAC">
        <w:tc>
          <w:tcPr>
            <w:tcW w:w="9242" w:type="dxa"/>
          </w:tcPr>
          <w:p w:rsidR="00A0445E" w:rsidRPr="0060296C" w:rsidRDefault="00A0445E" w:rsidP="00A0445E">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A0445E" w:rsidRPr="0060296C" w:rsidTr="00B66BAC">
        <w:tc>
          <w:tcPr>
            <w:tcW w:w="9242" w:type="dxa"/>
          </w:tcPr>
          <w:p w:rsidR="00A0445E" w:rsidRPr="0060296C" w:rsidRDefault="00A0445E" w:rsidP="00A0445E">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A0445E" w:rsidRPr="0060296C" w:rsidTr="00B66BAC">
        <w:tc>
          <w:tcPr>
            <w:tcW w:w="9242" w:type="dxa"/>
          </w:tcPr>
          <w:p w:rsidR="00A0445E" w:rsidRPr="0060296C" w:rsidRDefault="00A0445E" w:rsidP="00A0445E">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A0445E" w:rsidRPr="0060296C" w:rsidTr="00B66BAC">
        <w:tc>
          <w:tcPr>
            <w:tcW w:w="9242" w:type="dxa"/>
          </w:tcPr>
          <w:p w:rsidR="00A0445E" w:rsidRPr="0060296C" w:rsidRDefault="00A0445E" w:rsidP="00A0445E">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A0445E" w:rsidRPr="0060296C" w:rsidTr="00B66BAC">
        <w:tc>
          <w:tcPr>
            <w:tcW w:w="9242" w:type="dxa"/>
          </w:tcPr>
          <w:p w:rsidR="00A0445E" w:rsidRPr="0060296C" w:rsidRDefault="00A0445E" w:rsidP="00A0445E">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A0445E" w:rsidRPr="0060296C" w:rsidTr="00B66BAC">
        <w:tc>
          <w:tcPr>
            <w:tcW w:w="9242" w:type="dxa"/>
          </w:tcPr>
          <w:p w:rsidR="00A0445E" w:rsidRPr="0060296C" w:rsidRDefault="00A0445E" w:rsidP="00A0445E">
            <w:pPr>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A0445E" w:rsidRPr="0060296C" w:rsidTr="00B66BAC">
        <w:tc>
          <w:tcPr>
            <w:tcW w:w="9242" w:type="dxa"/>
          </w:tcPr>
          <w:p w:rsidR="00A0445E" w:rsidRPr="0060296C" w:rsidRDefault="00A0445E" w:rsidP="00A0445E">
            <w:pPr>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A0445E" w:rsidRPr="0060296C" w:rsidTr="00B66BAC">
        <w:tc>
          <w:tcPr>
            <w:tcW w:w="9242" w:type="dxa"/>
          </w:tcPr>
          <w:p w:rsidR="00A0445E" w:rsidRPr="0060296C" w:rsidRDefault="00A0445E" w:rsidP="00A0445E">
            <w:pPr>
              <w:ind w:left="1440" w:hanging="873"/>
            </w:pPr>
            <w:r w:rsidRPr="0060296C">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r w:rsidRPr="0060296C">
              <w:t>Not applicable</w:t>
            </w:r>
            <w:bookmarkEnd w:id="22"/>
          </w:p>
        </w:tc>
      </w:tr>
      <w:tr w:rsidR="00A0445E" w:rsidRPr="0060296C" w:rsidTr="00B66BAC">
        <w:tc>
          <w:tcPr>
            <w:tcW w:w="9242" w:type="dxa"/>
          </w:tcPr>
          <w:p w:rsidR="00A0445E" w:rsidRPr="0060296C" w:rsidRDefault="00A0445E" w:rsidP="00A0445E">
            <w:pPr>
              <w:rPr>
                <w:b/>
              </w:rPr>
            </w:pPr>
            <w:r w:rsidRPr="0060296C">
              <w:rPr>
                <w:b/>
              </w:rPr>
              <w:t>Agency or authority designated to handle comments: [</w:t>
            </w:r>
            <w:bookmarkStart w:id="23" w:name="spsCommentNNA"/>
            <w:r w:rsidRPr="0060296C">
              <w:rPr>
                <w:b/>
              </w:rPr>
              <w:t>X</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A0445E" w:rsidRPr="00A75FEA" w:rsidTr="00B66BAC">
        <w:tc>
          <w:tcPr>
            <w:tcW w:w="9242" w:type="dxa"/>
          </w:tcPr>
          <w:p w:rsidR="00A0445E" w:rsidRPr="0060296C" w:rsidRDefault="00A0445E" w:rsidP="00A0445E">
            <w:bookmarkStart w:id="25" w:name="spsCommentAddress"/>
            <w:r w:rsidRPr="0060296C">
              <w:t>European Commission</w:t>
            </w:r>
          </w:p>
          <w:p w:rsidR="00A0445E" w:rsidRPr="0060296C" w:rsidRDefault="00A0445E" w:rsidP="00A0445E">
            <w:r w:rsidRPr="0060296C">
              <w:t>DG Health and Food Safety, Unit G6-Multilateral International Relations</w:t>
            </w:r>
          </w:p>
          <w:p w:rsidR="00A0445E" w:rsidRPr="00A75FEA" w:rsidRDefault="00A0445E" w:rsidP="00A0445E">
            <w:pPr>
              <w:rPr>
                <w:lang w:val="fr-CH"/>
              </w:rPr>
            </w:pPr>
            <w:r w:rsidRPr="00A75FEA">
              <w:rPr>
                <w:lang w:val="fr-CH"/>
              </w:rPr>
              <w:t>Rue Froissart 101, B-1049 Brussels</w:t>
            </w:r>
          </w:p>
          <w:p w:rsidR="00A0445E" w:rsidRPr="00A75FEA" w:rsidRDefault="00A0445E" w:rsidP="00A0445E">
            <w:pPr>
              <w:rPr>
                <w:lang w:val="fr-CH"/>
              </w:rPr>
            </w:pPr>
            <w:r w:rsidRPr="00A75FEA">
              <w:rPr>
                <w:lang w:val="fr-CH"/>
              </w:rPr>
              <w:t>Tel: +(32 2) 295 42 63</w:t>
            </w:r>
          </w:p>
          <w:p w:rsidR="00A0445E" w:rsidRPr="00A75FEA" w:rsidRDefault="00A0445E" w:rsidP="00A0445E">
            <w:pPr>
              <w:rPr>
                <w:lang w:val="fr-CH"/>
              </w:rPr>
            </w:pPr>
            <w:r w:rsidRPr="00A75FEA">
              <w:rPr>
                <w:lang w:val="fr-CH"/>
              </w:rPr>
              <w:t>Fax: +(32 2) 299 80 90</w:t>
            </w:r>
          </w:p>
          <w:p w:rsidR="00A0445E" w:rsidRPr="00A75FEA" w:rsidRDefault="00A0445E" w:rsidP="00A0445E">
            <w:pPr>
              <w:rPr>
                <w:lang w:val="fr-CH"/>
              </w:rPr>
            </w:pPr>
            <w:r w:rsidRPr="00A75FEA">
              <w:rPr>
                <w:lang w:val="fr-CH"/>
              </w:rPr>
              <w:t>E-mail: sps@ec.europa.eu</w:t>
            </w:r>
            <w:bookmarkEnd w:id="25"/>
            <w:r w:rsidRPr="00A75FEA">
              <w:rPr>
                <w:lang w:val="fr-CH"/>
              </w:rPr>
              <w:t xml:space="preserve"> </w:t>
            </w:r>
          </w:p>
        </w:tc>
      </w:tr>
      <w:tr w:rsidR="00A0445E" w:rsidRPr="0060296C" w:rsidTr="00B66BAC">
        <w:tc>
          <w:tcPr>
            <w:tcW w:w="9242" w:type="dxa"/>
          </w:tcPr>
          <w:p w:rsidR="00A0445E" w:rsidRPr="0060296C" w:rsidRDefault="00A0445E" w:rsidP="00A0445E">
            <w:pPr>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X</w:t>
            </w:r>
            <w:bookmarkEnd w:id="27"/>
            <w:r w:rsidRPr="0060296C">
              <w:rPr>
                <w:b/>
              </w:rPr>
              <w:t xml:space="preserve">] National Enquiry Point. </w:t>
            </w:r>
            <w:r w:rsidRPr="0060296C">
              <w:rPr>
                <w:b/>
              </w:rPr>
              <w:lastRenderedPageBreak/>
              <w:t>Address, fax number and e-mail address (if available) of other body:</w:t>
            </w:r>
          </w:p>
        </w:tc>
      </w:tr>
      <w:tr w:rsidR="00A0445E" w:rsidRPr="00A75FEA" w:rsidTr="00B66BAC">
        <w:tc>
          <w:tcPr>
            <w:tcW w:w="9242" w:type="dxa"/>
          </w:tcPr>
          <w:p w:rsidR="00A0445E" w:rsidRPr="0060296C" w:rsidRDefault="00A0445E" w:rsidP="00A0445E">
            <w:bookmarkStart w:id="28" w:name="spsTextSupplierAddress"/>
            <w:r w:rsidRPr="0060296C">
              <w:lastRenderedPageBreak/>
              <w:t>European Commission</w:t>
            </w:r>
          </w:p>
          <w:p w:rsidR="00A0445E" w:rsidRPr="0060296C" w:rsidRDefault="00A0445E" w:rsidP="00A0445E">
            <w:r w:rsidRPr="0060296C">
              <w:t>DG Health and Food Safety, Unit G6-Multilateral International Relations</w:t>
            </w:r>
          </w:p>
          <w:p w:rsidR="00A0445E" w:rsidRPr="00A75FEA" w:rsidRDefault="00A0445E" w:rsidP="00A0445E">
            <w:pPr>
              <w:rPr>
                <w:lang w:val="fr-CH"/>
              </w:rPr>
            </w:pPr>
            <w:r w:rsidRPr="00A75FEA">
              <w:rPr>
                <w:lang w:val="fr-CH"/>
              </w:rPr>
              <w:t>Rue Froissart 101, B-1049 Brussels</w:t>
            </w:r>
          </w:p>
          <w:p w:rsidR="00A0445E" w:rsidRPr="00A75FEA" w:rsidRDefault="00A0445E" w:rsidP="00A0445E">
            <w:pPr>
              <w:rPr>
                <w:lang w:val="fr-CH"/>
              </w:rPr>
            </w:pPr>
            <w:r w:rsidRPr="00A75FEA">
              <w:rPr>
                <w:lang w:val="fr-CH"/>
              </w:rPr>
              <w:t>Tel: +(32 2) 295 42 63</w:t>
            </w:r>
          </w:p>
          <w:p w:rsidR="00A0445E" w:rsidRPr="00A75FEA" w:rsidRDefault="00A0445E" w:rsidP="00A0445E">
            <w:pPr>
              <w:rPr>
                <w:lang w:val="fr-CH"/>
              </w:rPr>
            </w:pPr>
            <w:r w:rsidRPr="00A75FEA">
              <w:rPr>
                <w:lang w:val="fr-CH"/>
              </w:rPr>
              <w:t>Fax: +(32 2) 299 80 90</w:t>
            </w:r>
          </w:p>
          <w:p w:rsidR="00A0445E" w:rsidRPr="00A75FEA" w:rsidRDefault="00A0445E" w:rsidP="00A0445E">
            <w:pPr>
              <w:rPr>
                <w:lang w:val="fr-CH"/>
              </w:rPr>
            </w:pPr>
            <w:r w:rsidRPr="00A75FEA">
              <w:rPr>
                <w:lang w:val="fr-CH"/>
              </w:rPr>
              <w:t>E-mail: sps@ec.europa.eu</w:t>
            </w:r>
            <w:bookmarkEnd w:id="28"/>
            <w:r w:rsidRPr="00A75FEA">
              <w:rPr>
                <w:lang w:val="fr-CH"/>
              </w:rPr>
              <w:t xml:space="preserve"> </w:t>
            </w:r>
          </w:p>
        </w:tc>
      </w:tr>
    </w:tbl>
    <w:p w:rsidR="00A0445E" w:rsidRDefault="00A0445E" w:rsidP="00A0445E"/>
    <w:p w:rsidR="00A0445E" w:rsidRDefault="00A0445E">
      <w:pPr>
        <w:jc w:val="left"/>
      </w:pPr>
      <w:r>
        <w:br w:type="page"/>
      </w:r>
    </w:p>
    <w:tbl>
      <w:tblPr>
        <w:tblW w:w="8897" w:type="dxa"/>
        <w:jc w:val="center"/>
        <w:tblLook w:val="04A0"/>
      </w:tblPr>
      <w:tblGrid>
        <w:gridCol w:w="9243"/>
      </w:tblGrid>
      <w:tr w:rsidR="00A0445E" w:rsidRPr="00F92745" w:rsidTr="00B66BAC">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0"/>
              <w:gridCol w:w="2870"/>
            </w:tblGrid>
            <w:tr w:rsidR="00A0445E" w:rsidRPr="00F508AE" w:rsidTr="00B66BAC">
              <w:trPr>
                <w:trHeight w:val="472"/>
                <w:jc w:val="center"/>
              </w:trPr>
              <w:tc>
                <w:tcPr>
                  <w:tcW w:w="6160" w:type="dxa"/>
                </w:tcPr>
                <w:p w:rsidR="00A0445E" w:rsidRPr="00F508AE" w:rsidRDefault="00A0445E" w:rsidP="00B66BAC">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A0445E" w:rsidRPr="000C1307" w:rsidRDefault="00A0445E" w:rsidP="00B66BAC">
                  <w:pPr>
                    <w:spacing w:line="240" w:lineRule="exact"/>
                    <w:jc w:val="left"/>
                    <w:rPr>
                      <w:rStyle w:val="afff7"/>
                    </w:rPr>
                  </w:pPr>
                  <w:r>
                    <w:rPr>
                      <w:b/>
                      <w:szCs w:val="21"/>
                    </w:rPr>
                    <w:t>G/SPS/N/EU/71/Add.1</w:t>
                  </w:r>
                </w:p>
                <w:p w:rsidR="00A0445E" w:rsidRPr="000C1307" w:rsidRDefault="00A0445E" w:rsidP="00B66BAC">
                  <w:pPr>
                    <w:spacing w:line="240" w:lineRule="exact"/>
                    <w:jc w:val="left"/>
                    <w:rPr>
                      <w:b/>
                      <w:szCs w:val="21"/>
                    </w:rPr>
                  </w:pPr>
                  <w:r w:rsidRPr="000C1307">
                    <w:rPr>
                      <w:b/>
                      <w:szCs w:val="21"/>
                    </w:rPr>
                    <w:t>分发日期：</w:t>
                  </w:r>
                  <w:r>
                    <w:rPr>
                      <w:rStyle w:val="afff7"/>
                      <w:rFonts w:hAnsi="宋体"/>
                    </w:rPr>
                    <w:t>2015-04-01</w:t>
                  </w:r>
                </w:p>
                <w:p w:rsidR="00A0445E" w:rsidRPr="006818A4" w:rsidRDefault="00A0445E" w:rsidP="00B66BAC">
                  <w:pPr>
                    <w:adjustRightInd w:val="0"/>
                    <w:snapToGrid w:val="0"/>
                    <w:jc w:val="left"/>
                    <w:rPr>
                      <w:sz w:val="21"/>
                      <w:szCs w:val="21"/>
                      <w:u w:val="single"/>
                      <w:lang w:eastAsia="zh-CN"/>
                    </w:rPr>
                  </w:pPr>
                  <w:r w:rsidRPr="000C1307">
                    <w:rPr>
                      <w:szCs w:val="21"/>
                    </w:rPr>
                    <w:t>(</w:t>
                  </w:r>
                  <w:r>
                    <w:rPr>
                      <w:szCs w:val="21"/>
                    </w:rPr>
                    <w:t>15-1802</w:t>
                  </w:r>
                  <w:r w:rsidRPr="000C1307">
                    <w:rPr>
                      <w:szCs w:val="21"/>
                    </w:rPr>
                    <w:t>)</w:t>
                  </w:r>
                </w:p>
              </w:tc>
            </w:tr>
            <w:tr w:rsidR="00A0445E" w:rsidRPr="00F508AE" w:rsidTr="00B66BAC">
              <w:trPr>
                <w:trHeight w:val="108"/>
                <w:jc w:val="center"/>
              </w:trPr>
              <w:tc>
                <w:tcPr>
                  <w:tcW w:w="6160" w:type="dxa"/>
                </w:tcPr>
                <w:p w:rsidR="00A0445E" w:rsidRPr="00F508AE" w:rsidRDefault="00A0445E" w:rsidP="00B66BAC">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A0445E" w:rsidRPr="006818A4" w:rsidRDefault="00A0445E" w:rsidP="00B66BAC">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A0445E" w:rsidRPr="00266886" w:rsidRDefault="00A0445E" w:rsidP="00B66BAC">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A0445E" w:rsidRPr="00A0445E" w:rsidRDefault="00A0445E" w:rsidP="00A0445E">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A0445E" w:rsidRPr="00A0445E" w:rsidRDefault="00A0445E" w:rsidP="00A0445E">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A0445E" w:rsidRPr="00A0445E" w:rsidRDefault="00A0445E" w:rsidP="00A0445E">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欧盟</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2015-03-30</w:t>
            </w:r>
            <w:r w:rsidRPr="00266886">
              <w:rPr>
                <w:rFonts w:hAnsi="宋体"/>
                <w:b/>
                <w:snapToGrid w:val="0"/>
                <w:color w:val="000000"/>
                <w:sz w:val="21"/>
                <w:szCs w:val="21"/>
                <w:lang w:eastAsia="zh-CN"/>
              </w:rPr>
              <w:t>如下信息：</w:t>
            </w:r>
          </w:p>
          <w:p w:rsidR="00A0445E" w:rsidRPr="00A0445E" w:rsidRDefault="00A0445E" w:rsidP="00A0445E">
            <w:pPr>
              <w:adjustRightInd w:val="0"/>
              <w:snapToGrid w:val="0"/>
              <w:ind w:firstLineChars="200" w:firstLine="420"/>
              <w:jc w:val="left"/>
              <w:rPr>
                <w:rFonts w:hAnsi="宋体" w:hint="eastAsia"/>
                <w:snapToGrid w:val="0"/>
                <w:sz w:val="21"/>
                <w:szCs w:val="21"/>
                <w:u w:val="single"/>
                <w:lang w:eastAsia="zh-CN"/>
              </w:rPr>
            </w:pPr>
            <w:r>
              <w:rPr>
                <w:sz w:val="21"/>
                <w:szCs w:val="21"/>
                <w:u w:val="single"/>
              </w:rPr>
              <w:t>免扶克</w:t>
            </w:r>
            <w:r>
              <w:rPr>
                <w:sz w:val="21"/>
                <w:szCs w:val="21"/>
                <w:u w:val="single"/>
              </w:rPr>
              <w:t>(Benfuracarb)</w:t>
            </w:r>
            <w:r>
              <w:rPr>
                <w:sz w:val="21"/>
                <w:szCs w:val="21"/>
                <w:u w:val="single"/>
              </w:rPr>
              <w:t>、西维因</w:t>
            </w:r>
            <w:r>
              <w:rPr>
                <w:sz w:val="21"/>
                <w:szCs w:val="21"/>
                <w:u w:val="single"/>
              </w:rPr>
              <w:t>(Carbaryl)</w:t>
            </w:r>
            <w:r>
              <w:rPr>
                <w:sz w:val="21"/>
                <w:szCs w:val="21"/>
                <w:u w:val="single"/>
              </w:rPr>
              <w:t>、克百威</w:t>
            </w:r>
            <w:r>
              <w:rPr>
                <w:sz w:val="21"/>
                <w:szCs w:val="21"/>
                <w:u w:val="single"/>
              </w:rPr>
              <w:t>(Carbofuran)</w:t>
            </w:r>
            <w:r>
              <w:rPr>
                <w:sz w:val="21"/>
                <w:szCs w:val="21"/>
                <w:u w:val="single"/>
              </w:rPr>
              <w:t>、丁硫克百威</w:t>
            </w:r>
            <w:r>
              <w:rPr>
                <w:sz w:val="21"/>
                <w:szCs w:val="21"/>
                <w:u w:val="single"/>
              </w:rPr>
              <w:t>(Carbosulfan)</w:t>
            </w:r>
            <w:r>
              <w:rPr>
                <w:sz w:val="21"/>
                <w:szCs w:val="21"/>
                <w:u w:val="single"/>
              </w:rPr>
              <w:t>、呋线威</w:t>
            </w:r>
            <w:r>
              <w:rPr>
                <w:sz w:val="21"/>
                <w:szCs w:val="21"/>
                <w:u w:val="single"/>
              </w:rPr>
              <w:t>(Furathiocarb)</w:t>
            </w:r>
            <w:r>
              <w:rPr>
                <w:sz w:val="21"/>
                <w:szCs w:val="21"/>
                <w:u w:val="single"/>
              </w:rPr>
              <w:t>、腐霉利</w:t>
            </w:r>
            <w:r>
              <w:rPr>
                <w:sz w:val="21"/>
                <w:szCs w:val="21"/>
                <w:u w:val="single"/>
              </w:rPr>
              <w:t>(Procymidone)</w:t>
            </w:r>
            <w:r>
              <w:rPr>
                <w:sz w:val="21"/>
                <w:szCs w:val="21"/>
                <w:u w:val="single"/>
              </w:rPr>
              <w:t>及溴丙磷</w:t>
            </w:r>
            <w:r>
              <w:rPr>
                <w:sz w:val="21"/>
                <w:szCs w:val="21"/>
                <w:u w:val="single"/>
              </w:rPr>
              <w:t>(Profenofos)</w:t>
            </w:r>
            <w:r>
              <w:rPr>
                <w:sz w:val="21"/>
                <w:szCs w:val="21"/>
                <w:u w:val="single"/>
              </w:rPr>
              <w:t>的最大残留限量</w:t>
            </w:r>
          </w:p>
          <w:p w:rsidR="00A0445E" w:rsidRPr="00266886" w:rsidRDefault="00A0445E" w:rsidP="00B66BAC">
            <w:pPr>
              <w:adjustRightInd w:val="0"/>
              <w:snapToGrid w:val="0"/>
              <w:jc w:val="left"/>
              <w:rPr>
                <w:rFonts w:hAnsi="宋体"/>
                <w:snapToGrid w:val="0"/>
                <w:sz w:val="21"/>
                <w:szCs w:val="21"/>
                <w:lang w:eastAsia="zh-CN"/>
              </w:rPr>
            </w:pPr>
            <w:r>
              <w:rPr>
                <w:rFonts w:hint="eastAsia"/>
                <w:sz w:val="21"/>
                <w:szCs w:val="21"/>
                <w:lang w:eastAsia="zh-CN"/>
              </w:rPr>
              <w:t>G/SPS/N/EU/71</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4</w:t>
            </w:r>
            <w:r>
              <w:rPr>
                <w:rFonts w:hint="eastAsia"/>
                <w:sz w:val="21"/>
                <w:szCs w:val="21"/>
                <w:lang w:eastAsia="zh-CN"/>
              </w:rPr>
              <w:t>月</w:t>
            </w:r>
            <w:r>
              <w:rPr>
                <w:rFonts w:hint="eastAsia"/>
                <w:sz w:val="21"/>
                <w:szCs w:val="21"/>
                <w:lang w:eastAsia="zh-CN"/>
              </w:rPr>
              <w:t>4</w:t>
            </w:r>
            <w:r>
              <w:rPr>
                <w:rFonts w:hint="eastAsia"/>
                <w:sz w:val="21"/>
                <w:szCs w:val="21"/>
                <w:lang w:eastAsia="zh-CN"/>
              </w:rPr>
              <w:t>日</w:t>
            </w:r>
            <w:r>
              <w:rPr>
                <w:rFonts w:hint="eastAsia"/>
                <w:sz w:val="21"/>
                <w:szCs w:val="21"/>
                <w:lang w:eastAsia="zh-CN"/>
              </w:rPr>
              <w:t>)</w:t>
            </w:r>
            <w:r>
              <w:rPr>
                <w:rFonts w:hint="eastAsia"/>
                <w:sz w:val="21"/>
                <w:szCs w:val="21"/>
                <w:lang w:eastAsia="zh-CN"/>
              </w:rPr>
              <w:t>通报提案已批准为</w:t>
            </w:r>
            <w:r>
              <w:rPr>
                <w:rFonts w:hint="eastAsia"/>
                <w:sz w:val="21"/>
                <w:szCs w:val="21"/>
                <w:lang w:eastAsia="zh-CN"/>
              </w:rPr>
              <w:t>:</w:t>
            </w:r>
            <w:r>
              <w:rPr>
                <w:rFonts w:hint="eastAsia"/>
                <w:sz w:val="21"/>
                <w:szCs w:val="21"/>
                <w:lang w:eastAsia="zh-CN"/>
              </w:rPr>
              <w:cr/>
            </w:r>
            <w:r>
              <w:rPr>
                <w:rFonts w:hint="eastAsia"/>
                <w:sz w:val="21"/>
                <w:szCs w:val="21"/>
                <w:lang w:eastAsia="zh-CN"/>
              </w:rPr>
              <w:t></w:t>
            </w:r>
            <w:r>
              <w:rPr>
                <w:rFonts w:hint="eastAsia"/>
                <w:sz w:val="21"/>
                <w:szCs w:val="21"/>
                <w:lang w:eastAsia="zh-CN"/>
              </w:rPr>
              <w:t xml:space="preserve">   "</w:t>
            </w:r>
            <w:r>
              <w:rPr>
                <w:rFonts w:hint="eastAsia"/>
                <w:sz w:val="21"/>
                <w:szCs w:val="21"/>
                <w:lang w:eastAsia="zh-CN"/>
              </w:rPr>
              <w:t>委员会</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15</w:t>
            </w:r>
            <w:r>
              <w:rPr>
                <w:rFonts w:hint="eastAsia"/>
                <w:sz w:val="21"/>
                <w:szCs w:val="21"/>
                <w:lang w:eastAsia="zh-CN"/>
              </w:rPr>
              <w:t>日第</w:t>
            </w:r>
            <w:r>
              <w:rPr>
                <w:rFonts w:hint="eastAsia"/>
                <w:sz w:val="21"/>
                <w:szCs w:val="21"/>
                <w:lang w:eastAsia="zh-CN"/>
              </w:rPr>
              <w:t>(EU)1096/2014</w:t>
            </w:r>
            <w:r>
              <w:rPr>
                <w:rFonts w:hint="eastAsia"/>
                <w:sz w:val="21"/>
                <w:szCs w:val="21"/>
                <w:lang w:eastAsia="zh-CN"/>
              </w:rPr>
              <w:t>号法规——修改欧洲议会及理事会有关某些产品内</w:t>
            </w:r>
            <w:r>
              <w:rPr>
                <w:rFonts w:hint="eastAsia"/>
                <w:sz w:val="21"/>
                <w:szCs w:val="21"/>
                <w:lang w:eastAsia="zh-CN"/>
              </w:rPr>
              <w:t>/</w:t>
            </w:r>
            <w:r>
              <w:rPr>
                <w:rFonts w:hint="eastAsia"/>
                <w:sz w:val="21"/>
                <w:szCs w:val="21"/>
                <w:lang w:eastAsia="zh-CN"/>
              </w:rPr>
              <w:t>表西维因</w:t>
            </w:r>
            <w:r>
              <w:rPr>
                <w:rFonts w:hint="eastAsia"/>
                <w:sz w:val="21"/>
                <w:szCs w:val="21"/>
                <w:lang w:eastAsia="zh-CN"/>
              </w:rPr>
              <w:t>(Carbaryl)</w:t>
            </w:r>
            <w:r>
              <w:rPr>
                <w:rFonts w:hint="eastAsia"/>
                <w:sz w:val="21"/>
                <w:szCs w:val="21"/>
                <w:lang w:eastAsia="zh-CN"/>
              </w:rPr>
              <w:t>、腐霉利</w:t>
            </w:r>
            <w:r>
              <w:rPr>
                <w:rFonts w:hint="eastAsia"/>
                <w:sz w:val="21"/>
                <w:szCs w:val="21"/>
                <w:lang w:eastAsia="zh-CN"/>
              </w:rPr>
              <w:t>(Procymidone)</w:t>
            </w:r>
            <w:r>
              <w:rPr>
                <w:rFonts w:hint="eastAsia"/>
                <w:sz w:val="21"/>
                <w:szCs w:val="21"/>
                <w:lang w:eastAsia="zh-CN"/>
              </w:rPr>
              <w:t>及溴丙磷</w:t>
            </w:r>
            <w:r>
              <w:rPr>
                <w:rFonts w:hint="eastAsia"/>
                <w:sz w:val="21"/>
                <w:szCs w:val="21"/>
                <w:lang w:eastAsia="zh-CN"/>
              </w:rPr>
              <w:t>(Profenofos)</w:t>
            </w:r>
            <w:r>
              <w:rPr>
                <w:rFonts w:hint="eastAsia"/>
                <w:sz w:val="21"/>
                <w:szCs w:val="21"/>
                <w:lang w:eastAsia="zh-CN"/>
              </w:rPr>
              <w:t>最大残留限量第</w:t>
            </w:r>
            <w:r>
              <w:rPr>
                <w:rFonts w:hint="eastAsia"/>
                <w:sz w:val="21"/>
                <w:szCs w:val="21"/>
                <w:lang w:eastAsia="zh-CN"/>
              </w:rPr>
              <w:t>(EC)396/2005</w:t>
            </w:r>
            <w:r>
              <w:rPr>
                <w:rFonts w:hint="eastAsia"/>
                <w:sz w:val="21"/>
                <w:szCs w:val="21"/>
                <w:lang w:eastAsia="zh-CN"/>
              </w:rPr>
              <w:t>号法规附件</w:t>
            </w:r>
            <w:r>
              <w:rPr>
                <w:rFonts w:hint="eastAsia"/>
                <w:sz w:val="21"/>
                <w:szCs w:val="21"/>
                <w:lang w:eastAsia="zh-CN"/>
              </w:rPr>
              <w:t>II</w:t>
            </w:r>
            <w:r>
              <w:rPr>
                <w:rFonts w:hint="eastAsia"/>
                <w:sz w:val="21"/>
                <w:szCs w:val="21"/>
                <w:lang w:eastAsia="zh-CN"/>
              </w:rPr>
              <w:t>、</w:t>
            </w:r>
            <w:r>
              <w:rPr>
                <w:rFonts w:hint="eastAsia"/>
                <w:sz w:val="21"/>
                <w:szCs w:val="21"/>
                <w:lang w:eastAsia="zh-CN"/>
              </w:rPr>
              <w:t>III</w:t>
            </w:r>
            <w:r>
              <w:rPr>
                <w:rFonts w:hint="eastAsia"/>
                <w:sz w:val="21"/>
                <w:szCs w:val="21"/>
                <w:lang w:eastAsia="zh-CN"/>
              </w:rPr>
              <w:t>及</w:t>
            </w:r>
            <w:r>
              <w:rPr>
                <w:rFonts w:hint="eastAsia"/>
                <w:sz w:val="21"/>
                <w:szCs w:val="21"/>
                <w:lang w:eastAsia="zh-CN"/>
              </w:rPr>
              <w:t>V(</w:t>
            </w:r>
            <w:r>
              <w:rPr>
                <w:rFonts w:hint="eastAsia"/>
                <w:sz w:val="21"/>
                <w:szCs w:val="21"/>
                <w:lang w:eastAsia="zh-CN"/>
              </w:rPr>
              <w:t>欧洲经济区相关文本</w:t>
            </w:r>
            <w:r>
              <w:rPr>
                <w:rFonts w:hint="eastAsia"/>
                <w:sz w:val="21"/>
                <w:szCs w:val="21"/>
                <w:lang w:eastAsia="zh-CN"/>
              </w:rPr>
              <w:t>)"[OJL300,2014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18</w:t>
            </w:r>
            <w:r>
              <w:rPr>
                <w:rFonts w:hint="eastAsia"/>
                <w:sz w:val="21"/>
                <w:szCs w:val="21"/>
                <w:lang w:eastAsia="zh-CN"/>
              </w:rPr>
              <w:t>日</w:t>
            </w:r>
            <w:r>
              <w:rPr>
                <w:rFonts w:hint="eastAsia"/>
                <w:sz w:val="21"/>
                <w:szCs w:val="21"/>
                <w:lang w:eastAsia="zh-CN"/>
              </w:rPr>
              <w:t>,5-38</w:t>
            </w:r>
            <w:r>
              <w:rPr>
                <w:rFonts w:hint="eastAsia"/>
                <w:sz w:val="21"/>
                <w:szCs w:val="21"/>
                <w:lang w:eastAsia="zh-CN"/>
              </w:rPr>
              <w:t>页</w:t>
            </w:r>
            <w:r>
              <w:rPr>
                <w:rFonts w:hint="eastAsia"/>
                <w:sz w:val="21"/>
                <w:szCs w:val="21"/>
                <w:lang w:eastAsia="zh-CN"/>
              </w:rPr>
              <w:t>];</w:t>
            </w:r>
            <w:r>
              <w:rPr>
                <w:rFonts w:hint="eastAsia"/>
                <w:sz w:val="21"/>
                <w:szCs w:val="21"/>
                <w:lang w:eastAsia="zh-CN"/>
              </w:rPr>
              <w:t>及</w:t>
            </w:r>
            <w:r>
              <w:rPr>
                <w:rFonts w:hint="eastAsia"/>
                <w:sz w:val="21"/>
                <w:szCs w:val="21"/>
                <w:lang w:eastAsia="zh-CN"/>
              </w:rPr>
              <w:cr/>
            </w:r>
            <w:r>
              <w:rPr>
                <w:rFonts w:hint="eastAsia"/>
                <w:sz w:val="21"/>
                <w:szCs w:val="21"/>
                <w:lang w:eastAsia="zh-CN"/>
              </w:rPr>
              <w:t></w:t>
            </w:r>
            <w:r>
              <w:rPr>
                <w:rFonts w:hint="eastAsia"/>
                <w:sz w:val="21"/>
                <w:szCs w:val="21"/>
                <w:lang w:eastAsia="zh-CN"/>
              </w:rPr>
              <w:t xml:space="preserve">   </w:t>
            </w:r>
            <w:r>
              <w:rPr>
                <w:rFonts w:hint="eastAsia"/>
                <w:sz w:val="21"/>
                <w:szCs w:val="21"/>
                <w:lang w:eastAsia="zh-CN"/>
              </w:rPr>
              <w:t>“委员会</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25</w:t>
            </w:r>
            <w:r>
              <w:rPr>
                <w:rFonts w:hint="eastAsia"/>
                <w:sz w:val="21"/>
                <w:szCs w:val="21"/>
                <w:lang w:eastAsia="zh-CN"/>
              </w:rPr>
              <w:t>日第</w:t>
            </w:r>
            <w:r>
              <w:rPr>
                <w:rFonts w:hint="eastAsia"/>
                <w:sz w:val="21"/>
                <w:szCs w:val="21"/>
                <w:lang w:eastAsia="zh-CN"/>
              </w:rPr>
              <w:t>(EU)2015/399</w:t>
            </w:r>
            <w:r>
              <w:rPr>
                <w:rFonts w:hint="eastAsia"/>
                <w:sz w:val="21"/>
                <w:szCs w:val="21"/>
                <w:lang w:eastAsia="zh-CN"/>
              </w:rPr>
              <w:t>号法规——修改欧洲议会及理事会有关某些产品内</w:t>
            </w:r>
            <w:r>
              <w:rPr>
                <w:rFonts w:hint="eastAsia"/>
                <w:sz w:val="21"/>
                <w:szCs w:val="21"/>
                <w:lang w:eastAsia="zh-CN"/>
              </w:rPr>
              <w:t>/</w:t>
            </w:r>
            <w:r>
              <w:rPr>
                <w:rFonts w:hint="eastAsia"/>
                <w:sz w:val="21"/>
                <w:szCs w:val="21"/>
                <w:lang w:eastAsia="zh-CN"/>
              </w:rPr>
              <w:t>表</w:t>
            </w:r>
            <w:r>
              <w:rPr>
                <w:rFonts w:hint="eastAsia"/>
                <w:sz w:val="21"/>
                <w:szCs w:val="21"/>
                <w:lang w:eastAsia="zh-CN"/>
              </w:rPr>
              <w:t>1,4-</w:t>
            </w:r>
            <w:r>
              <w:rPr>
                <w:rFonts w:hint="eastAsia"/>
                <w:sz w:val="21"/>
                <w:szCs w:val="21"/>
                <w:lang w:eastAsia="zh-CN"/>
              </w:rPr>
              <w:t>二甲基萘</w:t>
            </w:r>
            <w:r>
              <w:rPr>
                <w:rFonts w:hint="eastAsia"/>
                <w:sz w:val="21"/>
                <w:szCs w:val="21"/>
                <w:lang w:eastAsia="zh-CN"/>
              </w:rPr>
              <w:t>(1,4-dimethylnaphthalene)</w:t>
            </w:r>
            <w:r>
              <w:rPr>
                <w:rFonts w:hint="eastAsia"/>
                <w:sz w:val="21"/>
                <w:szCs w:val="21"/>
                <w:lang w:eastAsia="zh-CN"/>
              </w:rPr>
              <w:t>、免扶克</w:t>
            </w:r>
            <w:r>
              <w:rPr>
                <w:rFonts w:hint="eastAsia"/>
                <w:sz w:val="21"/>
                <w:szCs w:val="21"/>
                <w:lang w:eastAsia="zh-CN"/>
              </w:rPr>
              <w:t>(Benfuracarb)</w:t>
            </w:r>
            <w:r>
              <w:rPr>
                <w:rFonts w:hint="eastAsia"/>
                <w:sz w:val="21"/>
                <w:szCs w:val="21"/>
                <w:lang w:eastAsia="zh-CN"/>
              </w:rPr>
              <w:t>、克百威</w:t>
            </w:r>
            <w:r>
              <w:rPr>
                <w:rFonts w:hint="eastAsia"/>
                <w:sz w:val="21"/>
                <w:szCs w:val="21"/>
                <w:lang w:eastAsia="zh-CN"/>
              </w:rPr>
              <w:t>(Carbofuran)</w:t>
            </w:r>
            <w:r>
              <w:rPr>
                <w:rFonts w:hint="eastAsia"/>
                <w:sz w:val="21"/>
                <w:szCs w:val="21"/>
                <w:lang w:eastAsia="zh-CN"/>
              </w:rPr>
              <w:t>、丁硫克百威</w:t>
            </w:r>
            <w:r>
              <w:rPr>
                <w:rFonts w:hint="eastAsia"/>
                <w:sz w:val="21"/>
                <w:szCs w:val="21"/>
                <w:lang w:eastAsia="zh-CN"/>
              </w:rPr>
              <w:t>(Carbosulfan)</w:t>
            </w:r>
            <w:r>
              <w:rPr>
                <w:rFonts w:hint="eastAsia"/>
                <w:sz w:val="21"/>
                <w:szCs w:val="21"/>
                <w:lang w:eastAsia="zh-CN"/>
              </w:rPr>
              <w:t>、乙烯利</w:t>
            </w:r>
            <w:r>
              <w:rPr>
                <w:rFonts w:hint="eastAsia"/>
                <w:sz w:val="21"/>
                <w:szCs w:val="21"/>
                <w:lang w:eastAsia="zh-CN"/>
              </w:rPr>
              <w:t>(ethephon)</w:t>
            </w:r>
            <w:r>
              <w:rPr>
                <w:rFonts w:hint="eastAsia"/>
                <w:sz w:val="21"/>
                <w:szCs w:val="21"/>
                <w:lang w:eastAsia="zh-CN"/>
              </w:rPr>
              <w:t>、咪唑菌酮</w:t>
            </w:r>
            <w:r>
              <w:rPr>
                <w:rFonts w:hint="eastAsia"/>
                <w:sz w:val="21"/>
                <w:szCs w:val="21"/>
                <w:lang w:eastAsia="zh-CN"/>
              </w:rPr>
              <w:t>(fenamidone)</w:t>
            </w:r>
            <w:r>
              <w:rPr>
                <w:rFonts w:hint="eastAsia"/>
                <w:sz w:val="21"/>
                <w:szCs w:val="21"/>
                <w:lang w:eastAsia="zh-CN"/>
              </w:rPr>
              <w:t>、咪唑菌酮</w:t>
            </w:r>
            <w:r>
              <w:rPr>
                <w:rFonts w:hint="eastAsia"/>
                <w:sz w:val="21"/>
                <w:szCs w:val="21"/>
                <w:lang w:eastAsia="zh-CN"/>
              </w:rPr>
              <w:t>(Fenamidone),</w:t>
            </w:r>
            <w:r>
              <w:rPr>
                <w:rFonts w:hint="eastAsia"/>
                <w:sz w:val="21"/>
                <w:szCs w:val="21"/>
                <w:lang w:eastAsia="zh-CN"/>
              </w:rPr>
              <w:t>环酰菌胺</w:t>
            </w:r>
            <w:r>
              <w:rPr>
                <w:rFonts w:hint="eastAsia"/>
                <w:sz w:val="21"/>
                <w:szCs w:val="21"/>
                <w:lang w:eastAsia="zh-CN"/>
              </w:rPr>
              <w:t>(Fenhexamid),</w:t>
            </w:r>
            <w:r>
              <w:rPr>
                <w:rFonts w:hint="eastAsia"/>
                <w:sz w:val="21"/>
                <w:szCs w:val="21"/>
                <w:lang w:eastAsia="zh-CN"/>
              </w:rPr>
              <w:t>呋线威</w:t>
            </w:r>
            <w:r>
              <w:rPr>
                <w:rFonts w:hint="eastAsia"/>
                <w:sz w:val="21"/>
                <w:szCs w:val="21"/>
                <w:lang w:eastAsia="zh-CN"/>
              </w:rPr>
              <w:t>(furathiocarb)</w:t>
            </w:r>
            <w:r>
              <w:rPr>
                <w:rFonts w:hint="eastAsia"/>
                <w:sz w:val="21"/>
                <w:szCs w:val="21"/>
                <w:lang w:eastAsia="zh-CN"/>
              </w:rPr>
              <w:t>、灭草烟</w:t>
            </w:r>
            <w:r>
              <w:rPr>
                <w:rFonts w:hint="eastAsia"/>
                <w:sz w:val="21"/>
                <w:szCs w:val="21"/>
                <w:lang w:eastAsia="zh-CN"/>
              </w:rPr>
              <w:t>(Imazapyr)</w:t>
            </w:r>
            <w:r>
              <w:rPr>
                <w:rFonts w:hint="eastAsia"/>
                <w:sz w:val="21"/>
                <w:szCs w:val="21"/>
                <w:lang w:eastAsia="zh-CN"/>
              </w:rPr>
              <w:t>、马拉硫磷</w:t>
            </w:r>
            <w:r>
              <w:rPr>
                <w:rFonts w:hint="eastAsia"/>
                <w:sz w:val="21"/>
                <w:szCs w:val="21"/>
                <w:lang w:eastAsia="zh-CN"/>
              </w:rPr>
              <w:t>(Malathion)</w:t>
            </w:r>
            <w:r>
              <w:rPr>
                <w:rFonts w:hint="eastAsia"/>
                <w:sz w:val="21"/>
                <w:szCs w:val="21"/>
                <w:lang w:eastAsia="zh-CN"/>
              </w:rPr>
              <w:t>、啶氧菌酯</w:t>
            </w:r>
            <w:r>
              <w:rPr>
                <w:rFonts w:hint="eastAsia"/>
                <w:sz w:val="21"/>
                <w:szCs w:val="21"/>
                <w:lang w:eastAsia="zh-CN"/>
              </w:rPr>
              <w:t>(picoxystrobin)</w:t>
            </w:r>
            <w:r>
              <w:rPr>
                <w:rFonts w:hint="eastAsia"/>
                <w:sz w:val="21"/>
                <w:szCs w:val="21"/>
                <w:lang w:eastAsia="zh-CN"/>
              </w:rPr>
              <w:t>、螺虫乙酯</w:t>
            </w:r>
            <w:r>
              <w:rPr>
                <w:rFonts w:hint="eastAsia"/>
                <w:sz w:val="21"/>
                <w:szCs w:val="21"/>
                <w:lang w:eastAsia="zh-CN"/>
              </w:rPr>
              <w:t>(spirotetramat)</w:t>
            </w:r>
            <w:r>
              <w:rPr>
                <w:rFonts w:hint="eastAsia"/>
                <w:sz w:val="21"/>
                <w:szCs w:val="21"/>
                <w:lang w:eastAsia="zh-CN"/>
              </w:rPr>
              <w:t>、吡喃草酮</w:t>
            </w:r>
            <w:r>
              <w:rPr>
                <w:rFonts w:hint="eastAsia"/>
                <w:sz w:val="21"/>
                <w:szCs w:val="21"/>
                <w:lang w:eastAsia="zh-CN"/>
              </w:rPr>
              <w:t>(tepraloxydim)</w:t>
            </w:r>
            <w:r>
              <w:rPr>
                <w:rFonts w:hint="eastAsia"/>
                <w:sz w:val="21"/>
                <w:szCs w:val="21"/>
                <w:lang w:eastAsia="zh-CN"/>
              </w:rPr>
              <w:t>及肟菌酯</w:t>
            </w:r>
            <w:r>
              <w:rPr>
                <w:rFonts w:hint="eastAsia"/>
                <w:sz w:val="21"/>
                <w:szCs w:val="21"/>
                <w:lang w:eastAsia="zh-CN"/>
              </w:rPr>
              <w:t>(Trifloxystrobin)</w:t>
            </w:r>
            <w:r>
              <w:rPr>
                <w:rFonts w:hint="eastAsia"/>
                <w:sz w:val="21"/>
                <w:szCs w:val="21"/>
                <w:lang w:eastAsia="zh-CN"/>
              </w:rPr>
              <w:t>最大残留限量的第</w:t>
            </w:r>
            <w:r>
              <w:rPr>
                <w:rFonts w:hint="eastAsia"/>
                <w:sz w:val="21"/>
                <w:szCs w:val="21"/>
                <w:lang w:eastAsia="zh-CN"/>
              </w:rPr>
              <w:t>(EC)396/2005</w:t>
            </w:r>
            <w:r>
              <w:rPr>
                <w:rFonts w:hint="eastAsia"/>
                <w:sz w:val="21"/>
                <w:szCs w:val="21"/>
                <w:lang w:eastAsia="zh-CN"/>
              </w:rPr>
              <w:t>号法规附件</w:t>
            </w:r>
            <w:r>
              <w:rPr>
                <w:rFonts w:hint="eastAsia"/>
                <w:sz w:val="21"/>
                <w:szCs w:val="21"/>
                <w:lang w:eastAsia="zh-CN"/>
              </w:rPr>
              <w:t>II</w:t>
            </w:r>
            <w:r>
              <w:rPr>
                <w:rFonts w:hint="eastAsia"/>
                <w:sz w:val="21"/>
                <w:szCs w:val="21"/>
                <w:lang w:eastAsia="zh-CN"/>
              </w:rPr>
              <w:t>、</w:t>
            </w:r>
            <w:r>
              <w:rPr>
                <w:rFonts w:hint="eastAsia"/>
                <w:sz w:val="21"/>
                <w:szCs w:val="21"/>
                <w:lang w:eastAsia="zh-CN"/>
              </w:rPr>
              <w:t>III</w:t>
            </w:r>
            <w:r>
              <w:rPr>
                <w:rFonts w:hint="eastAsia"/>
                <w:sz w:val="21"/>
                <w:szCs w:val="21"/>
                <w:lang w:eastAsia="zh-CN"/>
              </w:rPr>
              <w:t>及</w:t>
            </w:r>
            <w:r>
              <w:rPr>
                <w:rFonts w:hint="eastAsia"/>
                <w:sz w:val="21"/>
                <w:szCs w:val="21"/>
                <w:lang w:eastAsia="zh-CN"/>
              </w:rPr>
              <w:t>V(</w:t>
            </w:r>
            <w:r>
              <w:rPr>
                <w:rFonts w:hint="eastAsia"/>
                <w:sz w:val="21"/>
                <w:szCs w:val="21"/>
                <w:lang w:eastAsia="zh-CN"/>
              </w:rPr>
              <w:t>欧洲经济区相关文本</w:t>
            </w:r>
            <w:r>
              <w:rPr>
                <w:rFonts w:hint="eastAsia"/>
                <w:sz w:val="21"/>
                <w:szCs w:val="21"/>
                <w:lang w:eastAsia="zh-CN"/>
              </w:rPr>
              <w:t>)</w:t>
            </w:r>
            <w:r>
              <w:rPr>
                <w:rFonts w:hint="eastAsia"/>
                <w:sz w:val="21"/>
                <w:szCs w:val="21"/>
                <w:lang w:eastAsia="zh-CN"/>
              </w:rPr>
              <w:t>”</w:t>
            </w:r>
            <w:r>
              <w:rPr>
                <w:rFonts w:hint="eastAsia"/>
                <w:sz w:val="21"/>
                <w:szCs w:val="21"/>
                <w:lang w:eastAsia="zh-CN"/>
              </w:rPr>
              <w:t>[OJL71,2015</w:t>
            </w:r>
            <w:r>
              <w:rPr>
                <w:rFonts w:hint="eastAsia"/>
                <w:sz w:val="21"/>
                <w:szCs w:val="21"/>
                <w:lang w:eastAsia="zh-CN"/>
              </w:rPr>
              <w:t>年</w:t>
            </w:r>
            <w:r>
              <w:rPr>
                <w:rFonts w:hint="eastAsia"/>
                <w:sz w:val="21"/>
                <w:szCs w:val="21"/>
                <w:lang w:eastAsia="zh-CN"/>
              </w:rPr>
              <w:t>3</w:t>
            </w:r>
            <w:r>
              <w:rPr>
                <w:rFonts w:hint="eastAsia"/>
                <w:sz w:val="21"/>
                <w:szCs w:val="21"/>
                <w:lang w:eastAsia="zh-CN"/>
              </w:rPr>
              <w:t>月</w:t>
            </w:r>
            <w:r>
              <w:rPr>
                <w:rFonts w:hint="eastAsia"/>
                <w:sz w:val="21"/>
                <w:szCs w:val="21"/>
                <w:lang w:eastAsia="zh-CN"/>
              </w:rPr>
              <w:t>14</w:t>
            </w:r>
            <w:r>
              <w:rPr>
                <w:rFonts w:hint="eastAsia"/>
                <w:sz w:val="21"/>
                <w:szCs w:val="21"/>
                <w:lang w:eastAsia="zh-CN"/>
              </w:rPr>
              <w:t>日</w:t>
            </w:r>
            <w:r>
              <w:rPr>
                <w:rFonts w:hint="eastAsia"/>
                <w:sz w:val="21"/>
                <w:szCs w:val="21"/>
                <w:lang w:eastAsia="zh-CN"/>
              </w:rPr>
              <w:t>,1-55</w:t>
            </w:r>
            <w:r>
              <w:rPr>
                <w:rFonts w:hint="eastAsia"/>
                <w:sz w:val="21"/>
                <w:szCs w:val="21"/>
                <w:lang w:eastAsia="zh-CN"/>
              </w:rPr>
              <w:t>页</w:t>
            </w:r>
            <w:r>
              <w:rPr>
                <w:rFonts w:hint="eastAsia"/>
                <w:sz w:val="21"/>
                <w:szCs w:val="21"/>
                <w:lang w:eastAsia="zh-CN"/>
              </w:rPr>
              <w:t>]</w:t>
            </w:r>
            <w:r>
              <w:rPr>
                <w:rFonts w:hint="eastAsia"/>
                <w:sz w:val="21"/>
                <w:szCs w:val="21"/>
                <w:lang w:eastAsia="zh-CN"/>
              </w:rPr>
              <w:t>。</w:t>
            </w:r>
            <w:r>
              <w:rPr>
                <w:rFonts w:hint="eastAsia"/>
                <w:sz w:val="21"/>
                <w:szCs w:val="21"/>
                <w:lang w:eastAsia="zh-CN"/>
              </w:rPr>
              <w:cr/>
              <w:t xml:space="preserve">    </w:t>
            </w:r>
            <w:r>
              <w:rPr>
                <w:rFonts w:hint="eastAsia"/>
                <w:sz w:val="21"/>
                <w:szCs w:val="21"/>
                <w:lang w:eastAsia="zh-CN"/>
              </w:rPr>
              <w:t>这些法规将分别于</w:t>
            </w:r>
            <w:r>
              <w:rPr>
                <w:rFonts w:hint="eastAsia"/>
                <w:sz w:val="21"/>
                <w:szCs w:val="21"/>
                <w:lang w:eastAsia="zh-CN"/>
              </w:rPr>
              <w:t>2015</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7</w:t>
            </w:r>
            <w:r>
              <w:rPr>
                <w:rFonts w:hint="eastAsia"/>
                <w:sz w:val="21"/>
                <w:szCs w:val="21"/>
                <w:lang w:eastAsia="zh-CN"/>
              </w:rPr>
              <w:t>日及</w:t>
            </w:r>
            <w:r>
              <w:rPr>
                <w:rFonts w:hint="eastAsia"/>
                <w:sz w:val="21"/>
                <w:szCs w:val="21"/>
                <w:lang w:eastAsia="zh-CN"/>
              </w:rPr>
              <w:t>10</w:t>
            </w:r>
            <w:r>
              <w:rPr>
                <w:rFonts w:hint="eastAsia"/>
                <w:sz w:val="21"/>
                <w:szCs w:val="21"/>
                <w:lang w:eastAsia="zh-CN"/>
              </w:rPr>
              <w:t>月</w:t>
            </w:r>
            <w:r>
              <w:rPr>
                <w:rFonts w:hint="eastAsia"/>
                <w:sz w:val="21"/>
                <w:szCs w:val="21"/>
                <w:lang w:eastAsia="zh-CN"/>
              </w:rPr>
              <w:t>3</w:t>
            </w:r>
            <w:r>
              <w:rPr>
                <w:rFonts w:hint="eastAsia"/>
                <w:sz w:val="21"/>
                <w:szCs w:val="21"/>
                <w:lang w:eastAsia="zh-CN"/>
              </w:rPr>
              <w:t>日生效。</w:t>
            </w:r>
            <w:r>
              <w:rPr>
                <w:rFonts w:hint="eastAsia"/>
                <w:sz w:val="21"/>
                <w:szCs w:val="21"/>
                <w:lang w:eastAsia="zh-CN"/>
              </w:rPr>
              <w:cr/>
              <w:t>http://members.wto.org/crnattachments/2015/SPS/EEC/15_1432_00_e.pdf</w:t>
            </w:r>
            <w:r>
              <w:rPr>
                <w:rFonts w:hint="eastAsia"/>
                <w:sz w:val="21"/>
                <w:szCs w:val="21"/>
                <w:lang w:eastAsia="zh-CN"/>
              </w:rPr>
              <w:cr/>
              <w:t>http://members.wto.org/crnattachments/2015/SPS/EEC/15_1432_00_f.pdf</w:t>
            </w:r>
            <w:r>
              <w:rPr>
                <w:rFonts w:hint="eastAsia"/>
                <w:sz w:val="21"/>
                <w:szCs w:val="21"/>
                <w:lang w:eastAsia="zh-CN"/>
              </w:rPr>
              <w:cr/>
              <w:t>http://members.wto.org/crnattachments/2015/SPS/EEC/15_1432_00_s.pdf</w:t>
            </w:r>
            <w:r>
              <w:rPr>
                <w:rFonts w:hint="eastAsia"/>
                <w:sz w:val="21"/>
                <w:szCs w:val="21"/>
                <w:lang w:eastAsia="zh-CN"/>
              </w:rPr>
              <w:cr/>
              <w:t>http://members.wto.org/crnattachments/2015/SPS/EEC/15_1432_01_e.pdf</w:t>
            </w:r>
            <w:r>
              <w:rPr>
                <w:rFonts w:hint="eastAsia"/>
                <w:sz w:val="21"/>
                <w:szCs w:val="21"/>
                <w:lang w:eastAsia="zh-CN"/>
              </w:rPr>
              <w:cr/>
              <w:t>http://members.wto.org/crnattachments/2015/SPS/EEC/15_1432_01_f.pdf</w:t>
            </w:r>
            <w:r>
              <w:rPr>
                <w:rFonts w:hint="eastAsia"/>
                <w:sz w:val="21"/>
                <w:szCs w:val="21"/>
                <w:lang w:eastAsia="zh-CN"/>
              </w:rPr>
              <w:cr/>
              <w:t>http://members.wto.org/crnattachments/2015/SPS/EEC/15_1432_01_s.pdf</w:t>
            </w:r>
          </w:p>
          <w:p w:rsidR="00A0445E" w:rsidRPr="00266886" w:rsidRDefault="00A0445E" w:rsidP="00B66BAC">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A0445E" w:rsidRPr="00266886" w:rsidRDefault="00A0445E" w:rsidP="00B66BAC">
            <w:pPr>
              <w:adjustRightInd w:val="0"/>
              <w:snapToGrid w:val="0"/>
              <w:jc w:val="left"/>
              <w:rPr>
                <w:snapToGrid w:val="0"/>
                <w:sz w:val="21"/>
                <w:szCs w:val="21"/>
                <w:lang w:eastAsia="zh-CN"/>
              </w:rPr>
            </w:pPr>
          </w:p>
          <w:p w:rsidR="00A0445E" w:rsidRPr="00266886" w:rsidRDefault="00A0445E" w:rsidP="00B66BA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A0445E" w:rsidRPr="00266886" w:rsidRDefault="00A0445E" w:rsidP="00B66BA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A0445E" w:rsidRPr="00266886" w:rsidRDefault="00A0445E" w:rsidP="00B66BA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A0445E" w:rsidRPr="00266886" w:rsidRDefault="00A0445E" w:rsidP="00B66BA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A0445E" w:rsidRPr="00266886" w:rsidRDefault="00A0445E" w:rsidP="00B66BA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A0445E" w:rsidRPr="00266886" w:rsidRDefault="00A0445E" w:rsidP="00B66BA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A0445E" w:rsidRPr="00266886" w:rsidRDefault="00A0445E" w:rsidP="00B66BAC">
            <w:pPr>
              <w:adjustRightInd w:val="0"/>
              <w:snapToGrid w:val="0"/>
              <w:jc w:val="left"/>
              <w:rPr>
                <w:rFonts w:hAnsi="宋体"/>
                <w:snapToGrid w:val="0"/>
                <w:sz w:val="21"/>
                <w:szCs w:val="21"/>
                <w:lang w:eastAsia="zh-CN"/>
              </w:rPr>
            </w:pPr>
          </w:p>
          <w:p w:rsidR="00A0445E" w:rsidRPr="00266886" w:rsidRDefault="00A0445E" w:rsidP="00B66BAC">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w:t>
            </w:r>
            <w:r w:rsidRPr="00266886">
              <w:rPr>
                <w:rFonts w:hAnsi="宋体"/>
                <w:i/>
                <w:snapToGrid w:val="0"/>
                <w:sz w:val="21"/>
                <w:szCs w:val="21"/>
                <w:lang w:eastAsia="zh-CN"/>
              </w:rPr>
              <w:lastRenderedPageBreak/>
              <w:t>遗通报内的评议期。</w:t>
            </w:r>
            <w:r w:rsidRPr="00266886">
              <w:rPr>
                <w:i/>
                <w:snapToGrid w:val="0"/>
                <w:sz w:val="21"/>
                <w:szCs w:val="21"/>
                <w:lang w:eastAsia="zh-CN"/>
              </w:rPr>
              <w:t>)</w:t>
            </w:r>
          </w:p>
          <w:p w:rsidR="00A0445E" w:rsidRPr="00266886" w:rsidRDefault="00A0445E" w:rsidP="00B66BAC">
            <w:pPr>
              <w:adjustRightInd w:val="0"/>
              <w:snapToGrid w:val="0"/>
              <w:jc w:val="left"/>
              <w:rPr>
                <w:snapToGrid w:val="0"/>
                <w:sz w:val="21"/>
                <w:szCs w:val="21"/>
                <w:lang w:eastAsia="zh-CN"/>
              </w:rPr>
            </w:pPr>
          </w:p>
          <w:p w:rsidR="00A0445E" w:rsidRPr="00266886" w:rsidRDefault="00A0445E" w:rsidP="00B66BA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A0445E" w:rsidRPr="00266886" w:rsidRDefault="00A0445E" w:rsidP="00B66BAC">
            <w:pPr>
              <w:tabs>
                <w:tab w:val="left" w:pos="1440"/>
              </w:tabs>
              <w:adjustRightInd w:val="0"/>
              <w:snapToGrid w:val="0"/>
              <w:ind w:left="1440" w:hanging="1440"/>
              <w:jc w:val="left"/>
              <w:rPr>
                <w:rFonts w:hAnsi="宋体"/>
                <w:snapToGrid w:val="0"/>
                <w:sz w:val="21"/>
                <w:szCs w:val="21"/>
                <w:lang w:eastAsia="zh-CN"/>
              </w:rPr>
            </w:pPr>
          </w:p>
          <w:p w:rsidR="00A0445E" w:rsidRPr="00A75AA8" w:rsidRDefault="00A0445E" w:rsidP="00B66BAC">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xml:space="preserve">: [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EuropeanCommissionDGHealthandFoodSafety,UnitG6-MultilateralInternationalRelationsRueFroissart101,B-1049BrusselsTel:+(322)2954263Fax:+(322)2998090E-mail:sps@ec.europa.eu</w:t>
            </w:r>
          </w:p>
          <w:p w:rsidR="00A0445E" w:rsidRPr="00266886" w:rsidRDefault="00A0445E" w:rsidP="00B66BAC">
            <w:pPr>
              <w:adjustRightInd w:val="0"/>
              <w:snapToGrid w:val="0"/>
              <w:jc w:val="left"/>
              <w:rPr>
                <w:rFonts w:hAnsi="宋体"/>
                <w:snapToGrid w:val="0"/>
                <w:color w:val="000000"/>
                <w:sz w:val="21"/>
                <w:szCs w:val="21"/>
                <w:lang w:eastAsia="zh-CN"/>
              </w:rPr>
            </w:pPr>
          </w:p>
          <w:p w:rsidR="00A0445E" w:rsidRPr="00266886" w:rsidRDefault="00A0445E" w:rsidP="00B66BAC">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EuropeanCommissionDGHealthandFoodSafety,UnitG6-MultilateralInternationalRelationsRueFroissart101,B-1049BrusselsTel:+(322)2954263Fax:+(322)2998090E-mail:sps@ec.europa.eu</w:t>
            </w:r>
          </w:p>
          <w:p w:rsidR="00A0445E" w:rsidRPr="00266886" w:rsidRDefault="00A0445E" w:rsidP="00B66BAC">
            <w:pPr>
              <w:tabs>
                <w:tab w:val="left" w:pos="0"/>
              </w:tabs>
              <w:suppressAutoHyphens/>
              <w:adjustRightInd w:val="0"/>
              <w:snapToGrid w:val="0"/>
              <w:jc w:val="left"/>
              <w:rPr>
                <w:rFonts w:hAnsi="宋体"/>
                <w:spacing w:val="-2"/>
                <w:sz w:val="21"/>
                <w:szCs w:val="21"/>
                <w:lang w:val="fr-FR" w:eastAsia="zh-CN"/>
              </w:rPr>
            </w:pPr>
          </w:p>
          <w:p w:rsidR="00A0445E" w:rsidRPr="00266886" w:rsidRDefault="00A0445E" w:rsidP="00B66BAC">
            <w:pPr>
              <w:jc w:val="left"/>
              <w:rPr>
                <w:sz w:val="21"/>
                <w:szCs w:val="21"/>
                <w:lang w:val="fr-FR" w:eastAsia="zh-CN"/>
              </w:rPr>
            </w:pPr>
          </w:p>
        </w:tc>
      </w:tr>
    </w:tbl>
    <w:p w:rsidR="00A16CCD" w:rsidRPr="00A0445E" w:rsidRDefault="00A16CCD" w:rsidP="00A0445E">
      <w:pPr>
        <w:rPr>
          <w:lang w:eastAsia="zh-CN"/>
        </w:rPr>
      </w:pPr>
    </w:p>
    <w:sectPr w:rsidR="00A16CCD" w:rsidRPr="00A0445E" w:rsidSect="00DB4CE8">
      <w:headerReference w:type="default" r:id="rId14"/>
      <w:footerReference w:type="even" r:id="rId15"/>
      <w:footerReference w:type="default" r:id="rId16"/>
      <w:footerReference w:type="first" r:id="rId17"/>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086" w:rsidRDefault="00180086" w:rsidP="00A16CCD">
      <w:r>
        <w:separator/>
      </w:r>
    </w:p>
  </w:endnote>
  <w:endnote w:type="continuationSeparator" w:id="1">
    <w:p w:rsidR="00180086" w:rsidRDefault="00180086"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086" w:rsidRDefault="00180086" w:rsidP="00A16CCD">
      <w:r>
        <w:separator/>
      </w:r>
    </w:p>
  </w:footnote>
  <w:footnote w:type="continuationSeparator" w:id="1">
    <w:p w:rsidR="00180086" w:rsidRDefault="00180086"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235936"/>
    <w:multiLevelType w:val="hybridMultilevel"/>
    <w:tmpl w:val="4DA2AD6C"/>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2"/>
  </w:num>
  <w:num w:numId="20">
    <w:abstractNumId w:val="15"/>
  </w:num>
  <w:num w:numId="21">
    <w:abstractNumId w:val="31"/>
  </w:num>
  <w:num w:numId="22">
    <w:abstractNumId w:val="20"/>
  </w:num>
  <w:num w:numId="23">
    <w:abstractNumId w:val="12"/>
  </w:num>
  <w:num w:numId="24">
    <w:abstractNumId w:val="21"/>
  </w:num>
  <w:num w:numId="25">
    <w:abstractNumId w:val="28"/>
  </w:num>
  <w:num w:numId="26">
    <w:abstractNumId w:val="27"/>
  </w:num>
  <w:num w:numId="27">
    <w:abstractNumId w:val="23"/>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9"/>
  </w:num>
  <w:num w:numId="32">
    <w:abstractNumId w:val="13"/>
  </w:num>
  <w:num w:numId="33">
    <w:abstractNumId w:val="11"/>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4578"/>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0086"/>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B568B"/>
    <w:rsid w:val="008E0097"/>
    <w:rsid w:val="00913B1D"/>
    <w:rsid w:val="009165BC"/>
    <w:rsid w:val="00931EAC"/>
    <w:rsid w:val="00995A50"/>
    <w:rsid w:val="009C01AE"/>
    <w:rsid w:val="009E03AF"/>
    <w:rsid w:val="009E3C21"/>
    <w:rsid w:val="009F6F03"/>
    <w:rsid w:val="00A0445E"/>
    <w:rsid w:val="00A16CCD"/>
    <w:rsid w:val="00A2560E"/>
    <w:rsid w:val="00A7281D"/>
    <w:rsid w:val="00AA1097"/>
    <w:rsid w:val="00AC5975"/>
    <w:rsid w:val="00AD3615"/>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5/SPS/EEC/15_1432_00_e.pdf" TargetMode="External"/><Relationship Id="rId13" Type="http://schemas.openxmlformats.org/officeDocument/2006/relationships/hyperlink" Target="http://members.wto.org/crnattachments/2015/SPS/EEC/15_1432_01_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members.wto.org/crnattachments/2015/SPS/EEC/15_1432_01_f.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mbers.wto.org/crnattachments/2015/SPS/EEC/15_1432_01_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members.wto.org/crnattachments/2015/SPS/EEC/15_1432_00_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embers.wto.org/crnattachments/2015/SPS/EEC/15_1432_00_f.pdf"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5125</Characters>
  <Application>Microsoft Office Word</Application>
  <DocSecurity>0</DocSecurity>
  <Lines>42</Lines>
  <Paragraphs>12</Paragraphs>
  <ScaleCrop>false</ScaleCrop>
  <LinksUpToDate>false</LinksUpToDate>
  <CharactersWithSpaces>6012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