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left w:w="0" w:type="dxa"/>
          <w:right w:w="0" w:type="dxa"/>
        </w:tblCellMar>
        <w:tblLook w:val="04A0"/>
      </w:tblPr>
      <w:tblGrid>
        <w:gridCol w:w="3840"/>
        <w:gridCol w:w="2100"/>
        <w:gridCol w:w="3303"/>
      </w:tblGrid>
      <w:tr w:rsidR="00C7027A" w:rsidRPr="008679CF" w:rsidTr="00C7027A">
        <w:trPr>
          <w:trHeight w:val="240"/>
          <w:jc w:val="center"/>
        </w:trPr>
        <w:tc>
          <w:tcPr>
            <w:tcW w:w="2077" w:type="pct"/>
            <w:shd w:val="clear" w:color="auto" w:fill="auto"/>
            <w:tcMar>
              <w:left w:w="108" w:type="dxa"/>
              <w:right w:w="108" w:type="dxa"/>
            </w:tcMar>
            <w:vAlign w:val="center"/>
          </w:tcPr>
          <w:p w:rsidR="00C7027A" w:rsidRPr="008679CF" w:rsidRDefault="00C7027A" w:rsidP="00C7027A">
            <w:pPr>
              <w:rPr>
                <w:rFonts w:eastAsia="Verdana" w:cs="Verdana"/>
                <w:noProof/>
                <w:szCs w:val="18"/>
                <w:lang w:eastAsia="en-GB"/>
              </w:rPr>
            </w:pPr>
          </w:p>
        </w:tc>
        <w:tc>
          <w:tcPr>
            <w:tcW w:w="2923" w:type="pct"/>
            <w:gridSpan w:val="2"/>
            <w:shd w:val="clear" w:color="auto" w:fill="auto"/>
            <w:tcMar>
              <w:left w:w="108" w:type="dxa"/>
              <w:right w:w="108" w:type="dxa"/>
            </w:tcMar>
            <w:vAlign w:val="center"/>
          </w:tcPr>
          <w:p w:rsidR="00C7027A" w:rsidRPr="008679CF" w:rsidRDefault="00C7027A" w:rsidP="00C7027A">
            <w:pPr>
              <w:jc w:val="right"/>
              <w:rPr>
                <w:rFonts w:eastAsia="Verdana" w:cs="Verdana"/>
                <w:b/>
                <w:color w:val="FF0000"/>
                <w:szCs w:val="18"/>
              </w:rPr>
            </w:pPr>
          </w:p>
        </w:tc>
      </w:tr>
      <w:tr w:rsidR="00C7027A" w:rsidRPr="008679CF" w:rsidTr="00C7027A">
        <w:trPr>
          <w:trHeight w:val="213"/>
          <w:jc w:val="center"/>
        </w:trPr>
        <w:tc>
          <w:tcPr>
            <w:tcW w:w="2077" w:type="pct"/>
            <w:vMerge w:val="restart"/>
            <w:shd w:val="clear" w:color="auto" w:fill="auto"/>
            <w:tcMar>
              <w:left w:w="0" w:type="dxa"/>
              <w:right w:w="0" w:type="dxa"/>
            </w:tcMar>
          </w:tcPr>
          <w:p w:rsidR="00C7027A" w:rsidRPr="008679CF" w:rsidRDefault="00C7027A" w:rsidP="00C7027A">
            <w:pPr>
              <w:jc w:val="left"/>
              <w:rPr>
                <w:rFonts w:eastAsia="Verdana" w:cs="Verdana"/>
                <w:szCs w:val="18"/>
              </w:rPr>
            </w:pPr>
            <w:r>
              <w:rPr>
                <w:rFonts w:eastAsia="Verdana" w:cs="Verdana"/>
                <w:noProof/>
                <w:szCs w:val="18"/>
                <w:lang w:val="en-US" w:eastAsia="zh-CN"/>
              </w:rPr>
              <w:drawing>
                <wp:inline distT="0" distB="0" distL="0" distR="0">
                  <wp:extent cx="2415540" cy="716280"/>
                  <wp:effectExtent l="19050" t="0" r="3810" b="0"/>
                  <wp:docPr id="2" name="图片 1" descr="WTO_COLOR_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TO_COLOR_EN"/>
                          <pic:cNvPicPr>
                            <a:picLocks noChangeArrowheads="1"/>
                          </pic:cNvPicPr>
                        </pic:nvPicPr>
                        <pic:blipFill>
                          <a:blip r:embed="rId7"/>
                          <a:srcRect/>
                          <a:stretch>
                            <a:fillRect/>
                          </a:stretch>
                        </pic:blipFill>
                        <pic:spPr bwMode="auto">
                          <a:xfrm>
                            <a:off x="0" y="0"/>
                            <a:ext cx="2415540" cy="716280"/>
                          </a:xfrm>
                          <a:prstGeom prst="rect">
                            <a:avLst/>
                          </a:prstGeom>
                          <a:noFill/>
                          <a:ln w="9525">
                            <a:noFill/>
                            <a:miter lim="800000"/>
                            <a:headEnd/>
                            <a:tailEnd/>
                          </a:ln>
                        </pic:spPr>
                      </pic:pic>
                    </a:graphicData>
                  </a:graphic>
                </wp:inline>
              </w:drawing>
            </w:r>
          </w:p>
        </w:tc>
        <w:tc>
          <w:tcPr>
            <w:tcW w:w="2923" w:type="pct"/>
            <w:gridSpan w:val="2"/>
            <w:shd w:val="clear" w:color="auto" w:fill="auto"/>
            <w:tcMar>
              <w:left w:w="108" w:type="dxa"/>
              <w:right w:w="108" w:type="dxa"/>
            </w:tcMar>
          </w:tcPr>
          <w:p w:rsidR="00C7027A" w:rsidRPr="008679CF" w:rsidRDefault="00C7027A" w:rsidP="00C7027A">
            <w:pPr>
              <w:jc w:val="right"/>
              <w:rPr>
                <w:rFonts w:eastAsia="Verdana" w:cs="Verdana"/>
                <w:b/>
                <w:szCs w:val="18"/>
              </w:rPr>
            </w:pPr>
          </w:p>
        </w:tc>
      </w:tr>
      <w:tr w:rsidR="00C7027A" w:rsidRPr="008679CF" w:rsidTr="00C7027A">
        <w:trPr>
          <w:trHeight w:val="868"/>
          <w:jc w:val="center"/>
        </w:trPr>
        <w:tc>
          <w:tcPr>
            <w:tcW w:w="2077" w:type="pct"/>
            <w:vMerge/>
            <w:shd w:val="clear" w:color="auto" w:fill="auto"/>
            <w:tcMar>
              <w:left w:w="108" w:type="dxa"/>
              <w:right w:w="108" w:type="dxa"/>
            </w:tcMar>
          </w:tcPr>
          <w:p w:rsidR="00C7027A" w:rsidRPr="008679CF" w:rsidRDefault="00C7027A" w:rsidP="00C7027A">
            <w:pPr>
              <w:jc w:val="left"/>
              <w:rPr>
                <w:rFonts w:eastAsia="Verdana" w:cs="Verdana"/>
                <w:noProof/>
                <w:szCs w:val="18"/>
                <w:lang w:eastAsia="en-GB"/>
              </w:rPr>
            </w:pPr>
          </w:p>
        </w:tc>
        <w:tc>
          <w:tcPr>
            <w:tcW w:w="2923" w:type="pct"/>
            <w:gridSpan w:val="2"/>
            <w:shd w:val="clear" w:color="auto" w:fill="auto"/>
            <w:tcMar>
              <w:left w:w="108" w:type="dxa"/>
              <w:right w:w="108" w:type="dxa"/>
            </w:tcMar>
          </w:tcPr>
          <w:p w:rsidR="00C7027A" w:rsidRPr="008679CF" w:rsidRDefault="00C7027A" w:rsidP="00C7027A">
            <w:pPr>
              <w:jc w:val="right"/>
              <w:rPr>
                <w:rFonts w:eastAsia="Verdana" w:cs="Verdana"/>
                <w:b/>
                <w:szCs w:val="18"/>
              </w:rPr>
            </w:pPr>
            <w:r w:rsidRPr="008679CF">
              <w:rPr>
                <w:b/>
                <w:szCs w:val="18"/>
              </w:rPr>
              <w:t>G/SPS/N/CRI/156</w:t>
            </w:r>
          </w:p>
        </w:tc>
      </w:tr>
      <w:tr w:rsidR="00C7027A" w:rsidRPr="008679CF" w:rsidTr="00C7027A">
        <w:trPr>
          <w:trHeight w:val="240"/>
          <w:jc w:val="center"/>
        </w:trPr>
        <w:tc>
          <w:tcPr>
            <w:tcW w:w="2077" w:type="pct"/>
            <w:vMerge/>
            <w:shd w:val="clear" w:color="auto" w:fill="auto"/>
            <w:tcMar>
              <w:left w:w="108" w:type="dxa"/>
              <w:right w:w="108" w:type="dxa"/>
            </w:tcMar>
            <w:vAlign w:val="center"/>
          </w:tcPr>
          <w:p w:rsidR="00C7027A" w:rsidRPr="008679CF" w:rsidRDefault="00C7027A" w:rsidP="00C7027A">
            <w:pPr>
              <w:rPr>
                <w:rFonts w:eastAsia="Verdana" w:cs="Verdana"/>
                <w:szCs w:val="18"/>
              </w:rPr>
            </w:pPr>
          </w:p>
        </w:tc>
        <w:tc>
          <w:tcPr>
            <w:tcW w:w="2923" w:type="pct"/>
            <w:gridSpan w:val="2"/>
            <w:shd w:val="clear" w:color="auto" w:fill="auto"/>
            <w:tcMar>
              <w:left w:w="108" w:type="dxa"/>
              <w:right w:w="108" w:type="dxa"/>
            </w:tcMar>
            <w:vAlign w:val="center"/>
          </w:tcPr>
          <w:p w:rsidR="00C7027A" w:rsidRPr="008679CF" w:rsidRDefault="00C7027A" w:rsidP="00C7027A">
            <w:pPr>
              <w:jc w:val="right"/>
              <w:rPr>
                <w:rFonts w:eastAsia="Verdana" w:cs="Verdana"/>
                <w:szCs w:val="18"/>
              </w:rPr>
            </w:pPr>
            <w:r>
              <w:rPr>
                <w:rFonts w:eastAsia="Verdana" w:cs="Verdana"/>
                <w:szCs w:val="18"/>
              </w:rPr>
              <w:t>27 March 2015</w:t>
            </w:r>
          </w:p>
        </w:tc>
      </w:tr>
      <w:tr w:rsidR="00C7027A" w:rsidRPr="008679CF" w:rsidTr="00C7027A">
        <w:trPr>
          <w:trHeight w:val="412"/>
          <w:jc w:val="center"/>
        </w:trPr>
        <w:tc>
          <w:tcPr>
            <w:tcW w:w="3213" w:type="pct"/>
            <w:gridSpan w:val="2"/>
            <w:tcBorders>
              <w:bottom w:val="single" w:sz="4" w:space="0" w:color="auto"/>
            </w:tcBorders>
            <w:shd w:val="clear" w:color="auto" w:fill="auto"/>
            <w:tcMar>
              <w:top w:w="0" w:type="dxa"/>
              <w:left w:w="108" w:type="dxa"/>
              <w:bottom w:w="57" w:type="dxa"/>
              <w:right w:w="108" w:type="dxa"/>
            </w:tcMar>
            <w:vAlign w:val="bottom"/>
          </w:tcPr>
          <w:p w:rsidR="00C7027A" w:rsidRPr="008679CF" w:rsidRDefault="00C7027A" w:rsidP="00C7027A">
            <w:pPr>
              <w:jc w:val="left"/>
              <w:rPr>
                <w:rFonts w:eastAsia="Verdana" w:cs="Verdana"/>
                <w:b/>
                <w:szCs w:val="18"/>
              </w:rPr>
            </w:pPr>
            <w:r w:rsidRPr="008679CF">
              <w:rPr>
                <w:rFonts w:eastAsia="Verdana" w:cs="Verdana"/>
                <w:color w:val="FF0000"/>
                <w:szCs w:val="18"/>
              </w:rPr>
              <w:t>(</w:t>
            </w:r>
            <w:r>
              <w:rPr>
                <w:rFonts w:eastAsia="Verdana" w:cs="Verdana"/>
                <w:color w:val="FF0000"/>
                <w:szCs w:val="18"/>
              </w:rPr>
              <w:t>15-1731</w:t>
            </w:r>
            <w:r w:rsidRPr="008679CF">
              <w:rPr>
                <w:rFonts w:eastAsia="Verdana" w:cs="Verdana"/>
                <w:color w:val="FF0000"/>
                <w:szCs w:val="18"/>
              </w:rPr>
              <w:t>)</w:t>
            </w:r>
          </w:p>
        </w:tc>
        <w:tc>
          <w:tcPr>
            <w:tcW w:w="1787" w:type="pct"/>
            <w:tcBorders>
              <w:bottom w:val="single" w:sz="4" w:space="0" w:color="auto"/>
            </w:tcBorders>
            <w:shd w:val="clear" w:color="auto" w:fill="auto"/>
            <w:tcMar>
              <w:top w:w="0" w:type="dxa"/>
              <w:left w:w="108" w:type="dxa"/>
              <w:bottom w:w="57" w:type="dxa"/>
              <w:right w:w="108" w:type="dxa"/>
            </w:tcMar>
            <w:vAlign w:val="bottom"/>
          </w:tcPr>
          <w:p w:rsidR="00C7027A" w:rsidRPr="008679CF" w:rsidRDefault="00C7027A" w:rsidP="00C7027A">
            <w:pPr>
              <w:jc w:val="right"/>
              <w:rPr>
                <w:rFonts w:eastAsia="Verdana" w:cs="Verdana"/>
                <w:szCs w:val="18"/>
              </w:rPr>
            </w:pPr>
            <w:r w:rsidRPr="008679CF">
              <w:rPr>
                <w:rFonts w:eastAsia="Verdana" w:cs="Verdana"/>
                <w:szCs w:val="18"/>
              </w:rPr>
              <w:t xml:space="preserve">Page: </w:t>
            </w:r>
            <w:r w:rsidRPr="008679CF">
              <w:rPr>
                <w:rFonts w:eastAsia="Verdana" w:cs="Verdana"/>
                <w:szCs w:val="18"/>
              </w:rPr>
              <w:fldChar w:fldCharType="begin"/>
            </w:r>
            <w:r w:rsidRPr="008679CF">
              <w:rPr>
                <w:rFonts w:eastAsia="Verdana" w:cs="Verdana"/>
                <w:szCs w:val="18"/>
              </w:rPr>
              <w:instrText xml:space="preserve"> PAGE  \* Arabic  \* MERGEFORMAT </w:instrText>
            </w:r>
            <w:r w:rsidRPr="008679CF">
              <w:rPr>
                <w:rFonts w:eastAsia="Verdana" w:cs="Verdana"/>
                <w:szCs w:val="18"/>
              </w:rPr>
              <w:fldChar w:fldCharType="separate"/>
            </w:r>
            <w:r>
              <w:rPr>
                <w:rFonts w:eastAsia="Verdana" w:cs="Verdana"/>
                <w:noProof/>
                <w:szCs w:val="18"/>
              </w:rPr>
              <w:t>1</w:t>
            </w:r>
            <w:r w:rsidRPr="008679CF">
              <w:rPr>
                <w:rFonts w:eastAsia="Verdana" w:cs="Verdana"/>
                <w:szCs w:val="18"/>
              </w:rPr>
              <w:fldChar w:fldCharType="end"/>
            </w:r>
            <w:r w:rsidRPr="008679CF">
              <w:rPr>
                <w:rFonts w:eastAsia="Verdana" w:cs="Verdana"/>
                <w:szCs w:val="18"/>
              </w:rPr>
              <w:t>/</w:t>
            </w:r>
            <w:r w:rsidRPr="008679CF">
              <w:rPr>
                <w:rFonts w:eastAsia="Verdana" w:cs="Verdana"/>
                <w:szCs w:val="18"/>
              </w:rPr>
              <w:fldChar w:fldCharType="begin"/>
            </w:r>
            <w:r w:rsidRPr="008679CF">
              <w:rPr>
                <w:rFonts w:eastAsia="Verdana" w:cs="Verdana"/>
                <w:szCs w:val="18"/>
              </w:rPr>
              <w:instrText xml:space="preserve"> NUMPAGES  \# "0" \* Arabic  \* MERGEFORMAT </w:instrText>
            </w:r>
            <w:r w:rsidRPr="008679CF">
              <w:rPr>
                <w:rFonts w:eastAsia="Verdana" w:cs="Verdana"/>
                <w:szCs w:val="18"/>
              </w:rPr>
              <w:fldChar w:fldCharType="separate"/>
            </w:r>
            <w:r>
              <w:rPr>
                <w:rFonts w:eastAsia="Verdana" w:cs="Verdana"/>
                <w:noProof/>
                <w:szCs w:val="18"/>
              </w:rPr>
              <w:t>2</w:t>
            </w:r>
            <w:r w:rsidRPr="008679CF">
              <w:rPr>
                <w:rFonts w:eastAsia="Verdana" w:cs="Verdana"/>
                <w:szCs w:val="18"/>
              </w:rPr>
              <w:fldChar w:fldCharType="end"/>
            </w:r>
          </w:p>
        </w:tc>
      </w:tr>
      <w:tr w:rsidR="00C7027A" w:rsidRPr="008679CF" w:rsidTr="00C7027A">
        <w:trPr>
          <w:trHeight w:val="240"/>
          <w:jc w:val="center"/>
        </w:trPr>
        <w:tc>
          <w:tcPr>
            <w:tcW w:w="3213" w:type="pct"/>
            <w:gridSpan w:val="2"/>
            <w:tcBorders>
              <w:top w:val="single" w:sz="4" w:space="0" w:color="auto"/>
            </w:tcBorders>
            <w:shd w:val="clear" w:color="auto" w:fill="auto"/>
            <w:tcMar>
              <w:top w:w="113" w:type="dxa"/>
              <w:left w:w="108" w:type="dxa"/>
              <w:bottom w:w="57" w:type="dxa"/>
              <w:right w:w="108" w:type="dxa"/>
            </w:tcMar>
            <w:vAlign w:val="center"/>
          </w:tcPr>
          <w:p w:rsidR="00C7027A" w:rsidRPr="008679CF" w:rsidRDefault="00C7027A" w:rsidP="00C7027A">
            <w:pPr>
              <w:jc w:val="left"/>
              <w:rPr>
                <w:rFonts w:eastAsia="Verdana" w:cs="Verdana"/>
                <w:szCs w:val="18"/>
              </w:rPr>
            </w:pPr>
            <w:r w:rsidRPr="008679CF">
              <w:rPr>
                <w:b/>
                <w:szCs w:val="18"/>
              </w:rPr>
              <w:t>Committee on Sanitary and Phytosanitary Measures</w:t>
            </w:r>
          </w:p>
        </w:tc>
        <w:tc>
          <w:tcPr>
            <w:tcW w:w="1787" w:type="pct"/>
            <w:tcBorders>
              <w:top w:val="single" w:sz="4" w:space="0" w:color="auto"/>
            </w:tcBorders>
            <w:shd w:val="clear" w:color="auto" w:fill="auto"/>
            <w:tcMar>
              <w:top w:w="113" w:type="dxa"/>
              <w:left w:w="108" w:type="dxa"/>
              <w:bottom w:w="57" w:type="dxa"/>
              <w:right w:w="108" w:type="dxa"/>
            </w:tcMar>
          </w:tcPr>
          <w:p w:rsidR="00C7027A" w:rsidRPr="008679CF" w:rsidRDefault="00C7027A" w:rsidP="00C7027A">
            <w:pPr>
              <w:jc w:val="right"/>
              <w:rPr>
                <w:rFonts w:eastAsia="Verdana" w:cs="Verdana"/>
                <w:bCs/>
                <w:szCs w:val="18"/>
              </w:rPr>
            </w:pPr>
            <w:r w:rsidRPr="008679CF">
              <w:rPr>
                <w:rFonts w:eastAsia="Verdana" w:cs="Verdana"/>
                <w:bCs/>
                <w:szCs w:val="18"/>
              </w:rPr>
              <w:t>Original: Spanish</w:t>
            </w:r>
          </w:p>
        </w:tc>
      </w:tr>
    </w:tbl>
    <w:p w:rsidR="00C7027A" w:rsidRPr="008679CF" w:rsidRDefault="00C7027A" w:rsidP="00C7027A">
      <w:pPr>
        <w:pStyle w:val="a6"/>
        <w:spacing w:before="0" w:after="0"/>
        <w:rPr>
          <w:caps w:val="0"/>
          <w:kern w:val="0"/>
        </w:rPr>
      </w:pPr>
      <w:r w:rsidRPr="008679CF">
        <w:rPr>
          <w:rStyle w:val="a6"/>
          <w:caps w:val="0"/>
          <w:kern w:val="0"/>
          <w:lang w:eastAsia="en-GB"/>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10"/>
        <w:gridCol w:w="8533"/>
      </w:tblGrid>
      <w:tr w:rsidR="00C7027A" w:rsidRPr="008679CF" w:rsidTr="001B72EF">
        <w:tc>
          <w:tcPr>
            <w:tcW w:w="709" w:type="dxa"/>
            <w:tcBorders>
              <w:top w:val="doub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1.</w:t>
            </w:r>
          </w:p>
        </w:tc>
        <w:tc>
          <w:tcPr>
            <w:tcW w:w="8518" w:type="dxa"/>
            <w:tcBorders>
              <w:top w:val="doub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 xml:space="preserve">Notifying Member: </w:t>
            </w:r>
            <w:r w:rsidRPr="008679CF">
              <w:rPr>
                <w:rStyle w:val="a2"/>
                <w:u w:val="single"/>
              </w:rPr>
              <w:t>COSTA RICA</w:t>
            </w:r>
          </w:p>
          <w:p w:rsidR="00C7027A" w:rsidRPr="008679CF" w:rsidRDefault="00C7027A" w:rsidP="00C7027A">
            <w:pPr>
              <w:rPr>
                <w:b/>
              </w:rPr>
            </w:pPr>
            <w:r w:rsidRPr="008679CF">
              <w:rPr>
                <w:rStyle w:val="a2"/>
                <w:b/>
              </w:rPr>
              <w:t xml:space="preserve">If applicable, name of local government involved: </w:t>
            </w:r>
          </w:p>
        </w:tc>
      </w:tr>
      <w:tr w:rsidR="00C7027A" w:rsidRPr="008679CF" w:rsidTr="001B72EF">
        <w:tc>
          <w:tcPr>
            <w:tcW w:w="709"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2.</w:t>
            </w:r>
          </w:p>
        </w:tc>
        <w:tc>
          <w:tcPr>
            <w:tcW w:w="8518"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 xml:space="preserve">Agency responsible: </w:t>
            </w:r>
            <w:r w:rsidRPr="008679CF">
              <w:rPr>
                <w:rStyle w:val="a2"/>
                <w:i/>
              </w:rPr>
              <w:t>Ministerio de Agricultura y Ganadería, Servicio Fitosanitario del Estado</w:t>
            </w:r>
            <w:r w:rsidRPr="008679CF">
              <w:rPr>
                <w:rStyle w:val="a2"/>
              </w:rPr>
              <w:t>, SFE (Ministry of Agriculture and Livestock, State Phytosanitary Service)</w:t>
            </w:r>
          </w:p>
        </w:tc>
      </w:tr>
      <w:tr w:rsidR="00C7027A" w:rsidRPr="008679CF" w:rsidTr="001B72EF">
        <w:tc>
          <w:tcPr>
            <w:tcW w:w="709"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3.</w:t>
            </w:r>
          </w:p>
        </w:tc>
        <w:tc>
          <w:tcPr>
            <w:tcW w:w="8518"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 xml:space="preserve">Products covered (provide tariff item number(s) as specified in national schedules deposited with the WTO; ICS numbers should be provided in addition, where applicable): </w:t>
            </w:r>
            <w:r w:rsidRPr="008679CF">
              <w:rPr>
                <w:rStyle w:val="a2"/>
              </w:rPr>
              <w:t>Ingredients and formulated synthetic pesticides containing aldicarb.</w:t>
            </w:r>
          </w:p>
        </w:tc>
      </w:tr>
      <w:tr w:rsidR="00C7027A" w:rsidRPr="008679CF" w:rsidTr="001B72EF">
        <w:tc>
          <w:tcPr>
            <w:tcW w:w="709"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pPr>
              <w:rPr>
                <w:b/>
              </w:rPr>
            </w:pPr>
            <w:r w:rsidRPr="008679CF">
              <w:rPr>
                <w:rStyle w:val="a2"/>
                <w:b/>
              </w:rPr>
              <w:t>4.</w:t>
            </w:r>
          </w:p>
        </w:tc>
        <w:tc>
          <w:tcPr>
            <w:tcW w:w="8518"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pPr>
              <w:rPr>
                <w:b/>
              </w:rPr>
            </w:pPr>
            <w:r w:rsidRPr="008679CF">
              <w:rPr>
                <w:rStyle w:val="a2"/>
                <w:b/>
              </w:rPr>
              <w:t>Regions or countries likely to be affected, to the extent relevant or practicable:</w:t>
            </w:r>
          </w:p>
          <w:p w:rsidR="00C7027A" w:rsidRPr="008679CF" w:rsidRDefault="00C7027A" w:rsidP="00C7027A">
            <w:pPr>
              <w:ind w:left="607" w:hanging="607"/>
              <w:rPr>
                <w:b/>
              </w:rPr>
            </w:pPr>
            <w:r w:rsidRPr="008679CF">
              <w:rPr>
                <w:rStyle w:val="a2"/>
                <w:b/>
              </w:rPr>
              <w:t>[X]</w:t>
            </w:r>
            <w:r w:rsidRPr="008679CF">
              <w:rPr>
                <w:rStyle w:val="a2"/>
                <w:b/>
              </w:rPr>
              <w:tab/>
              <w:t>All trading partners</w:t>
            </w:r>
          </w:p>
          <w:p w:rsidR="00C7027A" w:rsidRPr="008679CF" w:rsidRDefault="00C7027A" w:rsidP="00C7027A">
            <w:pPr>
              <w:ind w:left="607" w:hanging="607"/>
              <w:rPr>
                <w:b/>
              </w:rPr>
            </w:pPr>
            <w:r w:rsidRPr="008679CF">
              <w:rPr>
                <w:rStyle w:val="a2"/>
                <w:b/>
              </w:rPr>
              <w:t>[ ]</w:t>
            </w:r>
            <w:r w:rsidRPr="008679CF">
              <w:rPr>
                <w:rStyle w:val="a2"/>
                <w:b/>
              </w:rPr>
              <w:tab/>
              <w:t xml:space="preserve">Specific regions or countries: </w:t>
            </w:r>
          </w:p>
        </w:tc>
      </w:tr>
      <w:tr w:rsidR="00C7027A" w:rsidRPr="008679CF" w:rsidTr="001B72EF">
        <w:tc>
          <w:tcPr>
            <w:tcW w:w="709"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5.</w:t>
            </w:r>
          </w:p>
        </w:tc>
        <w:tc>
          <w:tcPr>
            <w:tcW w:w="8518"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 xml:space="preserve">Title of the notified document: </w:t>
            </w:r>
            <w:r w:rsidRPr="008679CF">
              <w:rPr>
                <w:rStyle w:val="a2"/>
                <w:i/>
              </w:rPr>
              <w:t>Prohíbe registro, importación, exportación, fabricación, formulación, almacenamiento, distribución, transporte, reempaque, reenvase, manipulación, venta, mezcla y uso de ingredientes y plaguicidas sintéticos formulados que contengan aldicarb</w:t>
            </w:r>
            <w:r>
              <w:rPr>
                <w:rStyle w:val="a2"/>
                <w:i/>
              </w:rPr>
              <w:t>.</w:t>
            </w:r>
            <w:r w:rsidRPr="008679CF">
              <w:rPr>
                <w:rStyle w:val="a2"/>
                <w:i/>
              </w:rPr>
              <w:t xml:space="preserve"> Decreto Ejecutivo 38678-MAG-S-MINAE-MTSS</w:t>
            </w:r>
            <w:r w:rsidRPr="008679CF">
              <w:rPr>
                <w:rStyle w:val="a2"/>
              </w:rPr>
              <w:t xml:space="preserve"> (Ban on the registration, importation, exportation, manufacture, formulation, storage, distribution, transportation, repacking, repackaging, handling, sale, blending and use of </w:t>
            </w:r>
            <w:r>
              <w:rPr>
                <w:rStyle w:val="a2"/>
              </w:rPr>
              <w:br/>
            </w:r>
            <w:r w:rsidRPr="008679CF">
              <w:rPr>
                <w:rStyle w:val="a2"/>
              </w:rPr>
              <w:t>ingredients and formulated synthetic pesticides containing aldicarb. Executive Decree No.</w:t>
            </w:r>
            <w:r>
              <w:rPr>
                <w:rStyle w:val="a2"/>
              </w:rPr>
              <w:t> </w:t>
            </w:r>
            <w:r w:rsidRPr="008679CF">
              <w:rPr>
                <w:rStyle w:val="a2"/>
              </w:rPr>
              <w:t xml:space="preserve">38678-MAG-S-MINAE-MTSS), published in Official Journal </w:t>
            </w:r>
            <w:r w:rsidRPr="008679CF">
              <w:rPr>
                <w:rStyle w:val="a2"/>
                <w:i/>
              </w:rPr>
              <w:t>La Gaceta</w:t>
            </w:r>
            <w:r w:rsidRPr="008679CF">
              <w:rPr>
                <w:rStyle w:val="a2"/>
              </w:rPr>
              <w:t xml:space="preserve"> No. 223 of 19</w:t>
            </w:r>
            <w:r>
              <w:rPr>
                <w:rStyle w:val="a2"/>
              </w:rPr>
              <w:t> </w:t>
            </w:r>
            <w:r w:rsidRPr="008679CF">
              <w:rPr>
                <w:rStyle w:val="a2"/>
              </w:rPr>
              <w:t xml:space="preserve">November 2014 </w:t>
            </w:r>
            <w:r w:rsidRPr="008679CF">
              <w:rPr>
                <w:rStyle w:val="a2"/>
                <w:b/>
              </w:rPr>
              <w:t xml:space="preserve">Language(s): </w:t>
            </w:r>
            <w:r w:rsidRPr="008679CF">
              <w:rPr>
                <w:rStyle w:val="a2"/>
              </w:rPr>
              <w:t xml:space="preserve">Spanish </w:t>
            </w:r>
            <w:r w:rsidRPr="008679CF">
              <w:rPr>
                <w:rStyle w:val="a2"/>
                <w:b/>
              </w:rPr>
              <w:t xml:space="preserve">Number of pages: </w:t>
            </w:r>
            <w:r w:rsidRPr="008679CF">
              <w:rPr>
                <w:rStyle w:val="a2"/>
              </w:rPr>
              <w:t>4</w:t>
            </w:r>
          </w:p>
          <w:p w:rsidR="00C7027A" w:rsidRPr="008679CF" w:rsidRDefault="00C7027A" w:rsidP="00C7027A">
            <w:pPr>
              <w:rPr>
                <w:rStyle w:val="af3"/>
              </w:rPr>
            </w:pPr>
            <w:hyperlink r:id="rId8" w:history="1">
              <w:r w:rsidRPr="008679CF">
                <w:rPr>
                  <w:rStyle w:val="af3"/>
                </w:rPr>
                <w:t>http://members.wto.org/crnattachments/2015/SPS/CRI/15_1367_00_s.pdf</w:t>
              </w:r>
            </w:hyperlink>
          </w:p>
        </w:tc>
      </w:tr>
      <w:tr w:rsidR="00C7027A" w:rsidRPr="008679CF" w:rsidTr="001B72EF">
        <w:tc>
          <w:tcPr>
            <w:tcW w:w="709"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6.</w:t>
            </w:r>
          </w:p>
        </w:tc>
        <w:tc>
          <w:tcPr>
            <w:tcW w:w="8518"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 xml:space="preserve">Description of content: </w:t>
            </w:r>
            <w:r w:rsidRPr="008679CF">
              <w:rPr>
                <w:rStyle w:val="a2"/>
              </w:rPr>
              <w:t>The purpose of the notified Decree is to prohibit the registration, importation, exportation, manufacture, formulation, storage, distribution, transportation, repacking, repackaging, handling, sale, blending and use of technical grade active ingredients and formulated synthetic pesticides containing the active ingredient aldicarb and to repeal Executive Decree No. 34147-S-MAG-TSS-MINAE.</w:t>
            </w:r>
          </w:p>
        </w:tc>
      </w:tr>
      <w:tr w:rsidR="00C7027A" w:rsidRPr="008679CF" w:rsidTr="001B72EF">
        <w:tc>
          <w:tcPr>
            <w:tcW w:w="709"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pPr>
              <w:rPr>
                <w:b/>
              </w:rPr>
            </w:pPr>
            <w:r w:rsidRPr="008679CF">
              <w:rPr>
                <w:rStyle w:val="a2"/>
                <w:b/>
              </w:rPr>
              <w:t>7.</w:t>
            </w:r>
          </w:p>
        </w:tc>
        <w:tc>
          <w:tcPr>
            <w:tcW w:w="8518"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 xml:space="preserve">Objective and rationale: [X] food safety, [ ] animal health, [ ] plant protection, [X] protect humans from animal/plant pest or disease, [ ] protect territory from other damage from pests. </w:t>
            </w:r>
          </w:p>
        </w:tc>
      </w:tr>
      <w:tr w:rsidR="00C7027A" w:rsidRPr="008679CF" w:rsidTr="001B72EF">
        <w:tc>
          <w:tcPr>
            <w:tcW w:w="709"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pPr>
              <w:rPr>
                <w:b/>
              </w:rPr>
            </w:pPr>
            <w:r w:rsidRPr="008679CF">
              <w:rPr>
                <w:rStyle w:val="a2"/>
                <w:b/>
              </w:rPr>
              <w:t>8.</w:t>
            </w:r>
          </w:p>
        </w:tc>
        <w:tc>
          <w:tcPr>
            <w:tcW w:w="8518"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Is there a relevant international standard? If so, identify the standard:</w:t>
            </w:r>
          </w:p>
          <w:p w:rsidR="00C7027A" w:rsidRPr="008679CF" w:rsidRDefault="00C7027A" w:rsidP="00C7027A">
            <w:pPr>
              <w:ind w:left="607" w:hanging="607"/>
            </w:pPr>
            <w:r w:rsidRPr="008679CF">
              <w:rPr>
                <w:rStyle w:val="a2"/>
                <w:b/>
              </w:rPr>
              <w:t>[ ]</w:t>
            </w:r>
            <w:r w:rsidRPr="008679CF">
              <w:rPr>
                <w:rStyle w:val="a2"/>
              </w:rPr>
              <w:tab/>
            </w:r>
            <w:r w:rsidRPr="008679CF">
              <w:rPr>
                <w:rStyle w:val="a2"/>
                <w:b/>
              </w:rPr>
              <w:t xml:space="preserve">Codex Alimentarius Commission </w:t>
            </w:r>
            <w:r w:rsidRPr="008679CF">
              <w:rPr>
                <w:rStyle w:val="a2"/>
                <w:b/>
                <w:i/>
              </w:rPr>
              <w:t>(e.g. title or serial number of Codex standard or related text)</w:t>
            </w:r>
          </w:p>
          <w:p w:rsidR="00C7027A" w:rsidRPr="008679CF" w:rsidRDefault="00C7027A" w:rsidP="00C7027A">
            <w:pPr>
              <w:ind w:left="607" w:hanging="607"/>
            </w:pPr>
            <w:r w:rsidRPr="008679CF">
              <w:rPr>
                <w:rStyle w:val="a2"/>
                <w:b/>
              </w:rPr>
              <w:t>[ ]</w:t>
            </w:r>
            <w:r w:rsidRPr="008679CF">
              <w:rPr>
                <w:rStyle w:val="a2"/>
                <w:b/>
              </w:rPr>
              <w:tab/>
              <w:t xml:space="preserve">World Organisation for Animal Health (OIE) </w:t>
            </w:r>
            <w:r w:rsidRPr="008679CF">
              <w:rPr>
                <w:rStyle w:val="a2"/>
                <w:b/>
                <w:i/>
              </w:rPr>
              <w:t>(e.g. Terrestrial or Aquatic Animal Health Code, chapter number)</w:t>
            </w:r>
          </w:p>
          <w:p w:rsidR="00C7027A" w:rsidRPr="008679CF" w:rsidRDefault="00C7027A" w:rsidP="00C7027A">
            <w:pPr>
              <w:ind w:left="607" w:hanging="607"/>
            </w:pPr>
            <w:r w:rsidRPr="008679CF">
              <w:rPr>
                <w:rStyle w:val="a2"/>
                <w:b/>
              </w:rPr>
              <w:t>[ ]</w:t>
            </w:r>
            <w:r w:rsidRPr="008679CF">
              <w:rPr>
                <w:rStyle w:val="a2"/>
                <w:b/>
              </w:rPr>
              <w:tab/>
              <w:t>International Plant Protection Convention (</w:t>
            </w:r>
            <w:r w:rsidRPr="008679CF">
              <w:rPr>
                <w:rStyle w:val="a2"/>
                <w:b/>
                <w:i/>
              </w:rPr>
              <w:t>e.g. ISPM No.</w:t>
            </w:r>
            <w:r w:rsidRPr="008679CF">
              <w:rPr>
                <w:rStyle w:val="a2"/>
                <w:b/>
              </w:rPr>
              <w:t>)</w:t>
            </w:r>
          </w:p>
          <w:p w:rsidR="00C7027A" w:rsidRPr="008679CF" w:rsidRDefault="00C7027A" w:rsidP="00C7027A">
            <w:pPr>
              <w:ind w:left="607" w:hanging="607"/>
            </w:pPr>
            <w:r w:rsidRPr="008679CF">
              <w:rPr>
                <w:rStyle w:val="a2"/>
                <w:b/>
              </w:rPr>
              <w:t>[X]</w:t>
            </w:r>
            <w:r w:rsidRPr="008679CF">
              <w:rPr>
                <w:rStyle w:val="a2"/>
                <w:b/>
              </w:rPr>
              <w:tab/>
              <w:t>None</w:t>
            </w:r>
          </w:p>
          <w:p w:rsidR="00C7027A" w:rsidRPr="008679CF" w:rsidRDefault="00C7027A" w:rsidP="00C7027A">
            <w:pPr>
              <w:rPr>
                <w:b/>
              </w:rPr>
            </w:pPr>
            <w:r w:rsidRPr="008679CF">
              <w:rPr>
                <w:rStyle w:val="a2"/>
                <w:b/>
              </w:rPr>
              <w:t>Does this proposed regulation conform to the relevant international standard?</w:t>
            </w:r>
          </w:p>
          <w:p w:rsidR="00C7027A" w:rsidRPr="008679CF" w:rsidRDefault="00C7027A" w:rsidP="00C7027A">
            <w:pPr>
              <w:rPr>
                <w:bCs/>
              </w:rPr>
            </w:pPr>
            <w:r w:rsidRPr="008679CF">
              <w:rPr>
                <w:rStyle w:val="a2"/>
                <w:b/>
              </w:rPr>
              <w:t>[ ] Yes [ ] No</w:t>
            </w:r>
          </w:p>
          <w:p w:rsidR="00C7027A" w:rsidRPr="008679CF" w:rsidRDefault="00C7027A" w:rsidP="00C7027A">
            <w:pPr>
              <w:rPr>
                <w:b/>
              </w:rPr>
            </w:pPr>
            <w:r w:rsidRPr="008679CF">
              <w:rPr>
                <w:rStyle w:val="a2"/>
                <w:b/>
              </w:rPr>
              <w:t>If no, describe, whenever possible, how and why it deviates from the international standard:</w:t>
            </w:r>
            <w:r w:rsidRPr="008679CF">
              <w:rPr>
                <w:rStyle w:val="a2"/>
              </w:rPr>
              <w:t xml:space="preserve"> </w:t>
            </w:r>
          </w:p>
        </w:tc>
      </w:tr>
      <w:tr w:rsidR="00C7027A" w:rsidRPr="008679CF" w:rsidTr="001B72EF">
        <w:tc>
          <w:tcPr>
            <w:tcW w:w="709"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9.</w:t>
            </w:r>
          </w:p>
        </w:tc>
        <w:tc>
          <w:tcPr>
            <w:tcW w:w="8518"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pPr>
              <w:rPr>
                <w:b/>
              </w:rPr>
            </w:pPr>
            <w:r w:rsidRPr="008679CF">
              <w:rPr>
                <w:rStyle w:val="a2"/>
                <w:b/>
              </w:rPr>
              <w:t>Other relevant documents and language(s) in which these are available:</w:t>
            </w:r>
          </w:p>
          <w:p w:rsidR="00C7027A" w:rsidRPr="008679CF" w:rsidRDefault="00C7027A" w:rsidP="00C7027A">
            <w:pPr>
              <w:numPr>
                <w:ilvl w:val="0"/>
                <w:numId w:val="34"/>
              </w:numPr>
              <w:ind w:left="357" w:hanging="357"/>
            </w:pPr>
            <w:r w:rsidRPr="008679CF">
              <w:rPr>
                <w:rStyle w:val="a2"/>
              </w:rPr>
              <w:t>Basel Convention on the Control of Transboundary Movements of Hazardous Wastes and their Disposal;</w:t>
            </w:r>
          </w:p>
          <w:p w:rsidR="00C7027A" w:rsidRPr="008679CF" w:rsidRDefault="00C7027A" w:rsidP="00C7027A">
            <w:pPr>
              <w:numPr>
                <w:ilvl w:val="0"/>
                <w:numId w:val="34"/>
              </w:numPr>
              <w:ind w:left="357" w:hanging="357"/>
            </w:pPr>
            <w:r w:rsidRPr="008679CF">
              <w:rPr>
                <w:rStyle w:val="a2"/>
              </w:rPr>
              <w:t>Stockholm Convention on Persistent Organic Pollutants;</w:t>
            </w:r>
          </w:p>
          <w:p w:rsidR="00C7027A" w:rsidRPr="008679CF" w:rsidRDefault="00C7027A" w:rsidP="00C7027A">
            <w:pPr>
              <w:numPr>
                <w:ilvl w:val="0"/>
                <w:numId w:val="34"/>
              </w:numPr>
              <w:ind w:left="357" w:hanging="357"/>
            </w:pPr>
            <w:r w:rsidRPr="008679CF">
              <w:rPr>
                <w:rStyle w:val="a2"/>
              </w:rPr>
              <w:t>Rotterdam Convention.</w:t>
            </w:r>
          </w:p>
        </w:tc>
      </w:tr>
      <w:tr w:rsidR="00C7027A" w:rsidRPr="008679CF" w:rsidTr="001B72EF">
        <w:tc>
          <w:tcPr>
            <w:tcW w:w="709"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10.</w:t>
            </w:r>
          </w:p>
        </w:tc>
        <w:tc>
          <w:tcPr>
            <w:tcW w:w="8518"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pPr>
              <w:rPr>
                <w:bCs/>
              </w:rPr>
            </w:pPr>
            <w:r w:rsidRPr="008679CF">
              <w:rPr>
                <w:rStyle w:val="a2"/>
                <w:b/>
              </w:rPr>
              <w:t xml:space="preserve">Proposed date of adoption </w:t>
            </w:r>
            <w:r w:rsidRPr="008679CF">
              <w:rPr>
                <w:rStyle w:val="a2"/>
                <w:b/>
                <w:i/>
              </w:rPr>
              <w:t>(dd/mm/yy)</w:t>
            </w:r>
            <w:r w:rsidRPr="008679CF">
              <w:rPr>
                <w:rStyle w:val="a2"/>
                <w:b/>
              </w:rPr>
              <w:t xml:space="preserve">: </w:t>
            </w:r>
            <w:r w:rsidRPr="008679CF">
              <w:rPr>
                <w:rStyle w:val="a2"/>
              </w:rPr>
              <w:t>19 November 2014</w:t>
            </w:r>
          </w:p>
          <w:p w:rsidR="00C7027A" w:rsidRPr="008679CF" w:rsidRDefault="00C7027A" w:rsidP="00C7027A">
            <w:r w:rsidRPr="008679CF">
              <w:rPr>
                <w:rStyle w:val="a2"/>
                <w:b/>
              </w:rPr>
              <w:t xml:space="preserve">Proposed date of publication </w:t>
            </w:r>
            <w:r w:rsidRPr="008679CF">
              <w:rPr>
                <w:rStyle w:val="a2"/>
                <w:b/>
                <w:i/>
              </w:rPr>
              <w:t>(dd/mm/yy)</w:t>
            </w:r>
            <w:r w:rsidRPr="008679CF">
              <w:rPr>
                <w:rStyle w:val="a2"/>
                <w:b/>
              </w:rPr>
              <w:t xml:space="preserve">: </w:t>
            </w:r>
            <w:r w:rsidRPr="008679CF">
              <w:rPr>
                <w:rStyle w:val="a2"/>
              </w:rPr>
              <w:t>19 November 2014</w:t>
            </w:r>
          </w:p>
        </w:tc>
      </w:tr>
      <w:tr w:rsidR="00C7027A" w:rsidRPr="008679CF" w:rsidTr="001B72EF">
        <w:tc>
          <w:tcPr>
            <w:tcW w:w="709"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11.</w:t>
            </w:r>
          </w:p>
        </w:tc>
        <w:tc>
          <w:tcPr>
            <w:tcW w:w="8518"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pPr>
              <w:rPr>
                <w:bCs/>
              </w:rPr>
            </w:pPr>
            <w:r w:rsidRPr="008679CF">
              <w:rPr>
                <w:rStyle w:val="a2"/>
                <w:b/>
              </w:rPr>
              <w:t xml:space="preserve">Proposed date of entry into force: [ ] Six months from date of publication, and/or </w:t>
            </w:r>
            <w:r w:rsidRPr="008679CF">
              <w:rPr>
                <w:rStyle w:val="a2"/>
                <w:b/>
                <w:i/>
              </w:rPr>
              <w:lastRenderedPageBreak/>
              <w:t>(dd/mm/yy)</w:t>
            </w:r>
            <w:r w:rsidRPr="008679CF">
              <w:rPr>
                <w:rStyle w:val="a2"/>
                <w:b/>
              </w:rPr>
              <w:t xml:space="preserve">: </w:t>
            </w:r>
            <w:r w:rsidRPr="008679CF">
              <w:rPr>
                <w:rStyle w:val="a2"/>
              </w:rPr>
              <w:t xml:space="preserve">15 May 2014. Natural and legal persons registering, importing, exporting, manufacturing, formulating, storing, distributing, transporting, repacking, repackaging, handling, selling, blending and using technical grade active ingredients and formulated synthetic pesticides containing aldicarb will have a non-extendable period of six months from the date of publication of this Decree in the Official Journal </w:t>
            </w:r>
            <w:r w:rsidRPr="008679CF">
              <w:rPr>
                <w:rStyle w:val="a2"/>
                <w:i/>
              </w:rPr>
              <w:t>La Gaceta</w:t>
            </w:r>
            <w:r w:rsidRPr="008679CF">
              <w:rPr>
                <w:rStyle w:val="a2"/>
              </w:rPr>
              <w:t xml:space="preserve"> to use up their stocks in the domestic market.</w:t>
            </w:r>
          </w:p>
          <w:p w:rsidR="00C7027A" w:rsidRPr="008679CF" w:rsidRDefault="00C7027A" w:rsidP="00C7027A">
            <w:pPr>
              <w:ind w:left="607" w:hanging="607"/>
            </w:pPr>
            <w:r w:rsidRPr="008679CF">
              <w:rPr>
                <w:rStyle w:val="a2"/>
                <w:b/>
              </w:rPr>
              <w:t>[ ]</w:t>
            </w:r>
            <w:r w:rsidRPr="008679CF">
              <w:rPr>
                <w:rStyle w:val="a2"/>
                <w:b/>
              </w:rPr>
              <w:tab/>
              <w:t xml:space="preserve">Trade facilitating measure </w:t>
            </w:r>
          </w:p>
        </w:tc>
      </w:tr>
      <w:tr w:rsidR="00C7027A" w:rsidRPr="008679CF" w:rsidTr="001B72EF">
        <w:tc>
          <w:tcPr>
            <w:tcW w:w="709"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lastRenderedPageBreak/>
              <w:t>12.</w:t>
            </w:r>
          </w:p>
        </w:tc>
        <w:tc>
          <w:tcPr>
            <w:tcW w:w="8518" w:type="dxa"/>
            <w:tcBorders>
              <w:top w:val="single" w:sz="6" w:space="0" w:color="auto"/>
              <w:bottom w:val="single" w:sz="6" w:space="0" w:color="auto"/>
            </w:tcBorders>
            <w:shd w:val="clear" w:color="auto" w:fill="auto"/>
            <w:tcMar>
              <w:left w:w="108" w:type="dxa"/>
              <w:right w:w="108" w:type="dxa"/>
            </w:tcMar>
          </w:tcPr>
          <w:p w:rsidR="00C7027A" w:rsidRPr="008679CF" w:rsidRDefault="00C7027A" w:rsidP="00C7027A">
            <w:r w:rsidRPr="008679CF">
              <w:rPr>
                <w:rStyle w:val="a2"/>
                <w:b/>
              </w:rPr>
              <w:t xml:space="preserve">Final date for comments: [ ] Sixty days from the date of circulation of the notification and/or </w:t>
            </w:r>
            <w:r w:rsidRPr="008679CF">
              <w:rPr>
                <w:rStyle w:val="a2"/>
                <w:b/>
                <w:i/>
              </w:rPr>
              <w:t>(dd/mm/yy)</w:t>
            </w:r>
            <w:r w:rsidRPr="008679CF">
              <w:rPr>
                <w:rStyle w:val="a2"/>
                <w:b/>
              </w:rPr>
              <w:t xml:space="preserve">: </w:t>
            </w:r>
            <w:r w:rsidRPr="008679CF">
              <w:rPr>
                <w:rStyle w:val="a2"/>
              </w:rPr>
              <w:t>Not applicable.</w:t>
            </w:r>
          </w:p>
          <w:p w:rsidR="00C7027A" w:rsidRPr="008679CF" w:rsidRDefault="00C7027A" w:rsidP="00C7027A">
            <w:pPr>
              <w:keepNext/>
            </w:pPr>
            <w:r w:rsidRPr="008679CF">
              <w:rPr>
                <w:rStyle w:val="a2"/>
                <w:b/>
              </w:rPr>
              <w:t>Agency or authority designated to handle comments: [X] National Notification Authority, [ ] National Enquiry Point. Address, fax number and email address (if available) of other body:</w:t>
            </w:r>
            <w:r w:rsidRPr="008679CF">
              <w:rPr>
                <w:rStyle w:val="a2"/>
              </w:rPr>
              <w:t xml:space="preserve"> </w:t>
            </w:r>
          </w:p>
        </w:tc>
      </w:tr>
      <w:tr w:rsidR="00C7027A" w:rsidRPr="008679CF" w:rsidTr="001B72EF">
        <w:tc>
          <w:tcPr>
            <w:tcW w:w="709" w:type="dxa"/>
            <w:tcBorders>
              <w:top w:val="single" w:sz="6" w:space="0" w:color="auto"/>
              <w:bottom w:val="double" w:sz="6" w:space="0" w:color="auto"/>
            </w:tcBorders>
            <w:shd w:val="clear" w:color="auto" w:fill="auto"/>
            <w:tcMar>
              <w:left w:w="108" w:type="dxa"/>
              <w:right w:w="108" w:type="dxa"/>
            </w:tcMar>
          </w:tcPr>
          <w:p w:rsidR="00C7027A" w:rsidRPr="008679CF" w:rsidRDefault="00C7027A" w:rsidP="00C7027A">
            <w:r w:rsidRPr="008679CF">
              <w:rPr>
                <w:rStyle w:val="a2"/>
                <w:b/>
              </w:rPr>
              <w:t>13.</w:t>
            </w:r>
          </w:p>
        </w:tc>
        <w:tc>
          <w:tcPr>
            <w:tcW w:w="8518" w:type="dxa"/>
            <w:tcBorders>
              <w:top w:val="single" w:sz="6" w:space="0" w:color="auto"/>
              <w:bottom w:val="double" w:sz="6" w:space="0" w:color="auto"/>
            </w:tcBorders>
            <w:shd w:val="clear" w:color="auto" w:fill="auto"/>
            <w:tcMar>
              <w:left w:w="108" w:type="dxa"/>
              <w:right w:w="108" w:type="dxa"/>
            </w:tcMar>
          </w:tcPr>
          <w:p w:rsidR="00C7027A" w:rsidRPr="008679CF" w:rsidRDefault="00C7027A" w:rsidP="00C7027A">
            <w:pPr>
              <w:rPr>
                <w:b/>
              </w:rPr>
            </w:pPr>
            <w:r w:rsidRPr="008679CF">
              <w:rPr>
                <w:rStyle w:val="a2"/>
                <w:b/>
              </w:rPr>
              <w:t>Text(s) available from: [X] National Notification Authority, [X] National Enquiry Point. Address, fax number and email address (if available) of other body:</w:t>
            </w:r>
          </w:p>
          <w:p w:rsidR="00C7027A" w:rsidRPr="008679CF" w:rsidRDefault="00C7027A" w:rsidP="00C7027A">
            <w:r w:rsidRPr="008679CF">
              <w:rPr>
                <w:rStyle w:val="a2"/>
              </w:rPr>
              <w:t>Ministerio de Agricultura y Ganadería</w:t>
            </w:r>
          </w:p>
          <w:p w:rsidR="00C7027A" w:rsidRPr="008679CF" w:rsidRDefault="00C7027A" w:rsidP="00C7027A">
            <w:r w:rsidRPr="008679CF">
              <w:rPr>
                <w:rStyle w:val="a2"/>
              </w:rPr>
              <w:t>Servicio Fitosanitario del Estado (SFE)</w:t>
            </w:r>
          </w:p>
          <w:p w:rsidR="00C7027A" w:rsidRPr="008679CF" w:rsidRDefault="00C7027A" w:rsidP="00C7027A">
            <w:r w:rsidRPr="008679CF">
              <w:rPr>
                <w:rStyle w:val="a2"/>
              </w:rPr>
              <w:t>Centro de Información y Notificación MSF</w:t>
            </w:r>
          </w:p>
          <w:p w:rsidR="00C7027A" w:rsidRPr="008679CF" w:rsidRDefault="00C7027A" w:rsidP="00C7027A">
            <w:r w:rsidRPr="008679CF">
              <w:rPr>
                <w:rStyle w:val="a2"/>
              </w:rPr>
              <w:t xml:space="preserve">Apartado Postal 1521 </w:t>
            </w:r>
            <w:r>
              <w:rPr>
                <w:rStyle w:val="a2"/>
              </w:rPr>
              <w:t>–</w:t>
            </w:r>
            <w:r w:rsidRPr="008679CF">
              <w:rPr>
                <w:rStyle w:val="a2"/>
              </w:rPr>
              <w:t xml:space="preserve"> 1200</w:t>
            </w:r>
          </w:p>
          <w:p w:rsidR="00C7027A" w:rsidRPr="008679CF" w:rsidRDefault="00C7027A" w:rsidP="00C7027A">
            <w:r w:rsidRPr="008679CF">
              <w:rPr>
                <w:rStyle w:val="a2"/>
              </w:rPr>
              <w:t>San José, Costa Rica</w:t>
            </w:r>
          </w:p>
          <w:p w:rsidR="00C7027A" w:rsidRPr="008679CF" w:rsidRDefault="00C7027A" w:rsidP="00C7027A">
            <w:r w:rsidRPr="008679CF">
              <w:rPr>
                <w:rStyle w:val="a2"/>
              </w:rPr>
              <w:t>Tel.: (+506) 2549 3454</w:t>
            </w:r>
          </w:p>
          <w:p w:rsidR="00C7027A" w:rsidRPr="008679CF" w:rsidRDefault="00C7027A" w:rsidP="00C7027A">
            <w:r w:rsidRPr="008679CF">
              <w:rPr>
                <w:rStyle w:val="a2"/>
              </w:rPr>
              <w:t>Fax: (+506) 2549 3598</w:t>
            </w:r>
          </w:p>
          <w:p w:rsidR="00C7027A" w:rsidRPr="008679CF" w:rsidRDefault="00C7027A" w:rsidP="00C7027A">
            <w:r w:rsidRPr="008679CF">
              <w:rPr>
                <w:rStyle w:val="a2"/>
              </w:rPr>
              <w:t>Email: puntocontactoMSF@sfe.go.cr</w:t>
            </w:r>
          </w:p>
        </w:tc>
      </w:tr>
    </w:tbl>
    <w:p w:rsidR="00C7027A" w:rsidRPr="008679CF" w:rsidRDefault="00C7027A" w:rsidP="00C7027A"/>
    <w:p w:rsidR="00C7027A" w:rsidRDefault="00C7027A" w:rsidP="00C7027A">
      <w:pPr>
        <w:jc w:val="left"/>
      </w:pPr>
      <w:r>
        <w:br w:type="page"/>
      </w:r>
    </w:p>
    <w:tbl>
      <w:tblPr>
        <w:tblW w:w="0" w:type="auto"/>
        <w:jc w:val="center"/>
        <w:tblLayout w:type="fixed"/>
        <w:tblLook w:val="0000"/>
      </w:tblPr>
      <w:tblGrid>
        <w:gridCol w:w="9032"/>
      </w:tblGrid>
      <w:tr w:rsidR="00C7027A" w:rsidTr="001B72EF">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C7027A" w:rsidTr="001B72EF">
              <w:trPr>
                <w:trHeight w:val="472"/>
                <w:jc w:val="center"/>
              </w:trPr>
              <w:tc>
                <w:tcPr>
                  <w:tcW w:w="6160" w:type="dxa"/>
                </w:tcPr>
                <w:p w:rsidR="00C7027A" w:rsidRDefault="00C7027A" w:rsidP="00C7027A">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C7027A" w:rsidRDefault="00C7027A" w:rsidP="00C7027A">
                  <w:pPr>
                    <w:jc w:val="left"/>
                    <w:rPr>
                      <w:rStyle w:val="afff7"/>
                      <w:rFonts w:ascii="Times New Roman" w:hAnsi="Times New Roman"/>
                      <w:color w:val="auto"/>
                    </w:rPr>
                  </w:pPr>
                  <w:r>
                    <w:rPr>
                      <w:rFonts w:ascii="Times New Roman" w:hAnsi="Times New Roman"/>
                      <w:b/>
                      <w:szCs w:val="21"/>
                    </w:rPr>
                    <w:t>G/SPS/N/CRI/156</w:t>
                  </w:r>
                </w:p>
                <w:p w:rsidR="00C7027A" w:rsidRDefault="00C7027A" w:rsidP="00C7027A">
                  <w:pPr>
                    <w:jc w:val="left"/>
                    <w:rPr>
                      <w:rFonts w:ascii="Times New Roman"/>
                      <w:b/>
                      <w:szCs w:val="21"/>
                    </w:rPr>
                  </w:pPr>
                  <w:r>
                    <w:rPr>
                      <w:rFonts w:ascii="Times New Roman"/>
                      <w:b/>
                      <w:szCs w:val="21"/>
                    </w:rPr>
                    <w:t>分发日期：</w:t>
                  </w:r>
                  <w:r>
                    <w:rPr>
                      <w:rStyle w:val="afff7"/>
                      <w:rFonts w:ascii="Times New Roman" w:hAnsi="宋体"/>
                      <w:color w:val="auto"/>
                    </w:rPr>
                    <w:t>2015-03-27</w:t>
                  </w:r>
                </w:p>
                <w:p w:rsidR="00C7027A" w:rsidRDefault="00C7027A" w:rsidP="00C7027A">
                  <w:pPr>
                    <w:jc w:val="left"/>
                    <w:rPr>
                      <w:rFonts w:ascii="Times New Roman"/>
                      <w:szCs w:val="21"/>
                      <w:u w:val="single"/>
                    </w:rPr>
                  </w:pPr>
                  <w:r>
                    <w:rPr>
                      <w:rFonts w:ascii="Times New Roman"/>
                      <w:szCs w:val="21"/>
                    </w:rPr>
                    <w:t>(</w:t>
                  </w:r>
                  <w:r>
                    <w:rPr>
                      <w:rFonts w:ascii="Times New Roman" w:hAnsi="Times New Roman"/>
                      <w:szCs w:val="21"/>
                    </w:rPr>
                    <w:t>15-1731</w:t>
                  </w:r>
                  <w:r>
                    <w:rPr>
                      <w:rFonts w:ascii="Times New Roman"/>
                      <w:szCs w:val="21"/>
                    </w:rPr>
                    <w:t>)</w:t>
                  </w:r>
                </w:p>
              </w:tc>
            </w:tr>
            <w:tr w:rsidR="00C7027A" w:rsidTr="001B72EF">
              <w:trPr>
                <w:jc w:val="center"/>
              </w:trPr>
              <w:tc>
                <w:tcPr>
                  <w:tcW w:w="6160" w:type="dxa"/>
                </w:tcPr>
                <w:p w:rsidR="00C7027A" w:rsidRDefault="00C7027A" w:rsidP="00C7027A">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C7027A" w:rsidRDefault="00C7027A" w:rsidP="00C7027A">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西班牙文</w:t>
                  </w:r>
                </w:p>
              </w:tc>
            </w:tr>
          </w:tbl>
          <w:p w:rsidR="00C7027A" w:rsidRDefault="00C7027A" w:rsidP="00C7027A">
            <w:pPr>
              <w:tabs>
                <w:tab w:val="left" w:pos="0"/>
              </w:tabs>
              <w:suppressAutoHyphens/>
              <w:adjustRightInd w:val="0"/>
              <w:snapToGrid w:val="0"/>
              <w:jc w:val="center"/>
              <w:rPr>
                <w:b/>
              </w:rPr>
            </w:pPr>
            <w:r>
              <w:rPr>
                <w:rFonts w:hint="eastAsia"/>
                <w:b/>
              </w:rPr>
              <w:t xml:space="preserve"> </w:t>
            </w:r>
          </w:p>
          <w:p w:rsidR="00C7027A" w:rsidRPr="00C7027A" w:rsidRDefault="00C7027A" w:rsidP="00C7027A">
            <w:pPr>
              <w:tabs>
                <w:tab w:val="left" w:pos="0"/>
              </w:tabs>
              <w:suppressAutoHyphens/>
              <w:adjustRightInd w:val="0"/>
              <w:snapToGrid w:val="0"/>
              <w:jc w:val="center"/>
              <w:rPr>
                <w:rFonts w:hint="eastAsia"/>
                <w:b/>
                <w:sz w:val="28"/>
                <w:szCs w:val="28"/>
              </w:rPr>
            </w:pPr>
            <w:r>
              <w:rPr>
                <w:rFonts w:hint="eastAsia"/>
                <w:b/>
                <w:sz w:val="28"/>
                <w:szCs w:val="28"/>
              </w:rPr>
              <w:t>通</w:t>
            </w:r>
            <w:r>
              <w:rPr>
                <w:rFonts w:hint="eastAsia"/>
                <w:b/>
                <w:sz w:val="28"/>
                <w:szCs w:val="28"/>
              </w:rPr>
              <w:t xml:space="preserve">  </w:t>
            </w:r>
            <w:r>
              <w:rPr>
                <w:rFonts w:hint="eastAsia"/>
                <w:b/>
                <w:sz w:val="28"/>
                <w:szCs w:val="28"/>
              </w:rPr>
              <w:t>报</w:t>
            </w:r>
            <w:r>
              <w:rPr>
                <w:rFonts w:hint="eastAsia"/>
                <w:lang w:val="en-US" w:eastAsia="zh-CN"/>
              </w:rPr>
              <w:t xml:space="preserve">            </w:t>
            </w:r>
          </w:p>
          <w:p w:rsidR="00C7027A" w:rsidRDefault="00C7027A" w:rsidP="00C7027A">
            <w:pPr>
              <w:tabs>
                <w:tab w:val="left" w:pos="0"/>
              </w:tabs>
              <w:suppressAutoHyphens/>
              <w:adjustRightInd w:val="0"/>
              <w:snapToGrid w:val="0"/>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C7027A" w:rsidTr="001B72EF">
              <w:trPr>
                <w:jc w:val="center"/>
              </w:trPr>
              <w:tc>
                <w:tcPr>
                  <w:tcW w:w="697" w:type="dxa"/>
                </w:tcPr>
                <w:p w:rsidR="00C7027A" w:rsidRDefault="00C7027A" w:rsidP="00C7027A">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C7027A" w:rsidRDefault="00C7027A" w:rsidP="00C7027A">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哥斯达黎加</w:t>
                  </w:r>
                </w:p>
                <w:p w:rsidR="00C7027A" w:rsidRDefault="00C7027A" w:rsidP="00C7027A">
                  <w:pPr>
                    <w:pStyle w:val="afff6"/>
                    <w:snapToGrid w:val="0"/>
                    <w:spacing w:before="0"/>
                    <w:jc w:val="left"/>
                    <w:rPr>
                      <w:rFonts w:ascii="Times New Roman" w:hAnsi="Times New Roman"/>
                      <w:snapToGrid w:val="0"/>
                      <w:szCs w:val="21"/>
                      <w:lang w:eastAsia="zh-CN"/>
                    </w:rPr>
                  </w:pPr>
                  <w:r>
                    <w:rPr>
                      <w:rFonts w:ascii="Times New Roman" w:hAnsi="宋体"/>
                      <w:bCs w:val="0"/>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C7027A" w:rsidTr="001B72EF">
              <w:trPr>
                <w:jc w:val="center"/>
              </w:trPr>
              <w:tc>
                <w:tcPr>
                  <w:tcW w:w="697" w:type="dxa"/>
                </w:tcPr>
                <w:p w:rsidR="00C7027A" w:rsidRDefault="00C7027A" w:rsidP="00C7027A">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C7027A" w:rsidRDefault="00C7027A" w:rsidP="00C7027A">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农畜部国家植物卫生局</w:t>
                  </w:r>
                  <w:r>
                    <w:rPr>
                      <w:rFonts w:ascii="Times New Roman" w:hAnsi="Times New Roman" w:hint="eastAsia"/>
                      <w:szCs w:val="21"/>
                      <w:lang w:eastAsia="zh-CN"/>
                    </w:rPr>
                    <w:t>(SFE)</w:t>
                  </w:r>
                </w:p>
              </w:tc>
            </w:tr>
            <w:tr w:rsidR="00C7027A" w:rsidTr="001B72EF">
              <w:trPr>
                <w:jc w:val="center"/>
              </w:trPr>
              <w:tc>
                <w:tcPr>
                  <w:tcW w:w="697" w:type="dxa"/>
                </w:tcPr>
                <w:p w:rsidR="00C7027A" w:rsidRDefault="00C7027A" w:rsidP="00C7027A">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C7027A" w:rsidRDefault="00C7027A" w:rsidP="00C7027A">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含涕灭威</w:t>
                  </w:r>
                  <w:r>
                    <w:rPr>
                      <w:rFonts w:ascii="Times New Roman" w:hAnsi="Times New Roman" w:hint="eastAsia"/>
                      <w:szCs w:val="21"/>
                      <w:lang w:eastAsia="zh-CN"/>
                    </w:rPr>
                    <w:t>(Aldicarb)</w:t>
                  </w:r>
                  <w:r>
                    <w:rPr>
                      <w:rFonts w:ascii="Times New Roman" w:hAnsi="Times New Roman" w:hint="eastAsia"/>
                      <w:szCs w:val="21"/>
                      <w:lang w:eastAsia="zh-CN"/>
                    </w:rPr>
                    <w:t>的成分和配制合成杀虫剂</w:t>
                  </w:r>
                </w:p>
              </w:tc>
            </w:tr>
            <w:tr w:rsidR="00C7027A" w:rsidTr="001B72EF">
              <w:trPr>
                <w:jc w:val="center"/>
              </w:trPr>
              <w:tc>
                <w:tcPr>
                  <w:tcW w:w="697" w:type="dxa"/>
                </w:tcPr>
                <w:p w:rsidR="00C7027A" w:rsidRDefault="00C7027A" w:rsidP="00C7027A">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C7027A" w:rsidRDefault="00C7027A" w:rsidP="00C7027A">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C7027A" w:rsidRDefault="00C7027A" w:rsidP="00C7027A">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w:t>
                  </w:r>
                </w:p>
                <w:p w:rsidR="00C7027A" w:rsidRDefault="00C7027A" w:rsidP="00C7027A">
                  <w:pPr>
                    <w:snapToGrid w:val="0"/>
                    <w:jc w:val="left"/>
                    <w:rPr>
                      <w:rFonts w:ascii="Times New Roman" w:hAnsi="宋体"/>
                      <w:b/>
                      <w:snapToGrid w:val="0"/>
                      <w:szCs w:val="21"/>
                      <w:lang w:eastAsia="zh-CN"/>
                    </w:rPr>
                  </w:pPr>
                  <w:r>
                    <w:rPr>
                      <w:rFonts w:ascii="Times New Roman" w:hAnsi="Times New Roman"/>
                      <w:b/>
                      <w:snapToGrid w:val="0"/>
                      <w:szCs w:val="21"/>
                      <w:lang w:eastAsia="zh-CN"/>
                    </w:rPr>
                    <w:t>[  ]</w:t>
                  </w:r>
                  <w:r>
                    <w:rPr>
                      <w:rFonts w:ascii="Times New Roman" w:hAnsi="宋体"/>
                      <w:b/>
                      <w:snapToGrid w:val="0"/>
                      <w:szCs w:val="21"/>
                      <w:lang w:eastAsia="zh-CN"/>
                    </w:rPr>
                    <w:t>特定地区或国家：</w:t>
                  </w:r>
                </w:p>
              </w:tc>
            </w:tr>
            <w:tr w:rsidR="00C7027A" w:rsidTr="001B72EF">
              <w:trPr>
                <w:jc w:val="center"/>
              </w:trPr>
              <w:tc>
                <w:tcPr>
                  <w:tcW w:w="697" w:type="dxa"/>
                </w:tcPr>
                <w:p w:rsidR="00C7027A" w:rsidRDefault="00C7027A" w:rsidP="00C7027A">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C7027A" w:rsidRDefault="00C7027A" w:rsidP="00C7027A">
                  <w:pPr>
                    <w:pStyle w:val="afff6"/>
                    <w:snapToGrid w:val="0"/>
                    <w:spacing w:before="0"/>
                    <w:jc w:val="left"/>
                    <w:rPr>
                      <w:rFonts w:ascii="Times New Roman" w:hAnsi="宋体"/>
                      <w:bCs w:val="0"/>
                      <w:snapToGrid w:val="0"/>
                      <w:color w:val="000000"/>
                      <w:szCs w:val="21"/>
                      <w:lang w:eastAsia="zh-CN"/>
                    </w:rPr>
                  </w:pPr>
                  <w:r>
                    <w:rPr>
                      <w:rFonts w:ascii="Times New Roman" w:hAnsi="宋体"/>
                      <w:bCs w:val="0"/>
                      <w:snapToGrid w:val="0"/>
                      <w:color w:val="000000"/>
                      <w:szCs w:val="21"/>
                      <w:lang w:eastAsia="zh-CN"/>
                    </w:rPr>
                    <w:t>通报文件的标题、语言及页数：</w:t>
                  </w:r>
                </w:p>
                <w:p w:rsidR="00C7027A" w:rsidRDefault="00C7027A" w:rsidP="00C7027A">
                  <w:pPr>
                    <w:pStyle w:val="afff6"/>
                    <w:snapToGrid w:val="0"/>
                    <w:spacing w:before="0"/>
                    <w:jc w:val="left"/>
                    <w:rPr>
                      <w:rFonts w:ascii="Times New Roman" w:hAnsi="Times New Roman" w:hint="eastAsia"/>
                      <w:b w:val="0"/>
                      <w:szCs w:val="21"/>
                      <w:lang w:eastAsia="zh-CN"/>
                    </w:rPr>
                  </w:pPr>
                  <w:r>
                    <w:rPr>
                      <w:rFonts w:hAnsi="Times New Roman"/>
                      <w:lang w:eastAsia="zh-CN"/>
                    </w:rPr>
                    <w:t>第</w:t>
                  </w:r>
                  <w:r>
                    <w:rPr>
                      <w:rFonts w:hAnsi="Times New Roman"/>
                      <w:lang w:eastAsia="zh-CN"/>
                    </w:rPr>
                    <w:t>38678-MAG-S-MINAE-MTSS</w:t>
                  </w:r>
                  <w:r>
                    <w:rPr>
                      <w:rFonts w:hAnsi="Times New Roman"/>
                      <w:lang w:eastAsia="zh-CN"/>
                    </w:rPr>
                    <w:t>号令禁止含涕灭威</w:t>
                  </w:r>
                  <w:r>
                    <w:rPr>
                      <w:rFonts w:hAnsi="Times New Roman"/>
                      <w:lang w:eastAsia="zh-CN"/>
                    </w:rPr>
                    <w:t>(Aldicarb)</w:t>
                  </w:r>
                  <w:r>
                    <w:rPr>
                      <w:rFonts w:hAnsi="Times New Roman"/>
                      <w:lang w:eastAsia="zh-CN"/>
                    </w:rPr>
                    <w:t>成分和合成配制杀虫剂的注册、进出口、生产、配制、储存、分销、运输、重新包装、处理、销售、漂白和使用</w:t>
                  </w:r>
                  <w:r>
                    <w:rPr>
                      <w:rFonts w:hAnsi="Times New Roman"/>
                      <w:lang w:eastAsia="zh-CN"/>
                    </w:rPr>
                    <w:t>,</w:t>
                  </w:r>
                  <w:r>
                    <w:rPr>
                      <w:rFonts w:hAnsi="Times New Roman"/>
                      <w:lang w:eastAsia="zh-CN"/>
                    </w:rPr>
                    <w:t>公布于</w:t>
                  </w:r>
                  <w:r>
                    <w:rPr>
                      <w:rFonts w:hAnsi="Times New Roman"/>
                      <w:lang w:eastAsia="zh-CN"/>
                    </w:rPr>
                    <w:t>2014</w:t>
                  </w:r>
                  <w:r>
                    <w:rPr>
                      <w:rFonts w:hAnsi="Times New Roman"/>
                      <w:lang w:eastAsia="zh-CN"/>
                    </w:rPr>
                    <w:t>年</w:t>
                  </w:r>
                  <w:r>
                    <w:rPr>
                      <w:rFonts w:hAnsi="Times New Roman"/>
                      <w:lang w:eastAsia="zh-CN"/>
                    </w:rPr>
                    <w:t>11</w:t>
                  </w:r>
                  <w:r>
                    <w:rPr>
                      <w:rFonts w:hAnsi="Times New Roman"/>
                      <w:lang w:eastAsia="zh-CN"/>
                    </w:rPr>
                    <w:t>月</w:t>
                  </w:r>
                  <w:r>
                    <w:rPr>
                      <w:rFonts w:hAnsi="Times New Roman"/>
                      <w:lang w:eastAsia="zh-CN"/>
                    </w:rPr>
                    <w:t>19</w:t>
                  </w:r>
                  <w:r>
                    <w:rPr>
                      <w:rFonts w:hAnsi="Times New Roman"/>
                      <w:lang w:eastAsia="zh-CN"/>
                    </w:rPr>
                    <w:t>日第</w:t>
                  </w:r>
                  <w:r>
                    <w:rPr>
                      <w:rFonts w:hAnsi="Times New Roman"/>
                      <w:lang w:eastAsia="zh-CN"/>
                    </w:rPr>
                    <w:t>223</w:t>
                  </w:r>
                  <w:r>
                    <w:rPr>
                      <w:rFonts w:hAnsi="Times New Roman"/>
                      <w:lang w:eastAsia="zh-CN"/>
                    </w:rPr>
                    <w:t>号官方公报</w:t>
                  </w:r>
                </w:p>
                <w:p w:rsidR="00C7027A" w:rsidRDefault="00C7027A" w:rsidP="00C7027A">
                  <w:pPr>
                    <w:pStyle w:val="afff6"/>
                    <w:snapToGrid w:val="0"/>
                    <w:spacing w:before="0"/>
                    <w:jc w:val="left"/>
                    <w:rPr>
                      <w:rFonts w:ascii="Times New Roman" w:hAnsi="Times New Roman" w:hint="eastAsia"/>
                      <w:b w:val="0"/>
                      <w:szCs w:val="21"/>
                      <w:lang w:eastAsia="zh-CN"/>
                    </w:rPr>
                  </w:pPr>
                  <w:r>
                    <w:rPr>
                      <w:rFonts w:hAnsi="Times New Roman"/>
                      <w:lang w:eastAsia="zh-CN"/>
                    </w:rPr>
                    <w:t>西班牙文</w:t>
                  </w:r>
                </w:p>
                <w:p w:rsidR="00C7027A" w:rsidRDefault="00C7027A" w:rsidP="00C7027A">
                  <w:pPr>
                    <w:pStyle w:val="afff6"/>
                    <w:snapToGrid w:val="0"/>
                    <w:spacing w:before="0"/>
                    <w:jc w:val="left"/>
                    <w:rPr>
                      <w:rFonts w:ascii="Times New Roman" w:hAnsi="Times New Roman" w:hint="eastAsia"/>
                      <w:szCs w:val="21"/>
                      <w:lang w:eastAsia="zh-CN"/>
                    </w:rPr>
                  </w:pPr>
                  <w:r>
                    <w:rPr>
                      <w:rFonts w:hAnsi="Times New Roman"/>
                      <w:lang w:eastAsia="zh-CN"/>
                    </w:rPr>
                    <w:t>4</w:t>
                  </w:r>
                  <w:r>
                    <w:rPr>
                      <w:rFonts w:hAnsi="Times New Roman"/>
                      <w:lang w:eastAsia="zh-CN"/>
                    </w:rPr>
                    <w:t>页</w:t>
                  </w:r>
                  <w:bookmarkStart w:id="0" w:name="sps5d"/>
                  <w:r>
                    <w:rPr>
                      <w:rFonts w:ascii="Times New Roman" w:hAnsi="Times New Roman"/>
                      <w:szCs w:val="21"/>
                      <w:lang w:eastAsia="zh-CN"/>
                    </w:rPr>
                    <w:t xml:space="preserve"> </w:t>
                  </w:r>
                  <w:r>
                    <w:rPr>
                      <w:rFonts w:ascii="Times New Roman" w:hAnsi="Times New Roman" w:hint="eastAsia"/>
                      <w:szCs w:val="21"/>
                      <w:lang w:eastAsia="zh-CN"/>
                    </w:rPr>
                    <w:t xml:space="preserve">  </w:t>
                  </w:r>
                </w:p>
                <w:p w:rsidR="00C7027A" w:rsidRDefault="00C7027A" w:rsidP="00C7027A">
                  <w:pPr>
                    <w:pStyle w:val="afff6"/>
                    <w:snapToGrid w:val="0"/>
                    <w:spacing w:before="0"/>
                    <w:jc w:val="left"/>
                    <w:rPr>
                      <w:rFonts w:ascii="Times New Roman" w:hAnsi="宋体"/>
                      <w:i/>
                      <w:snapToGrid w:val="0"/>
                      <w:szCs w:val="21"/>
                      <w:lang w:eastAsia="zh-CN"/>
                    </w:rPr>
                  </w:pPr>
                  <w:r>
                    <w:rPr>
                      <w:rFonts w:hAnsi="Times New Roman"/>
                      <w:lang w:eastAsia="zh-CN"/>
                    </w:rPr>
                    <w:t>http://members.wto.org/crnattachments/2015/SPS/CRI/15_1367_00_s.pdf</w:t>
                  </w:r>
                  <w:bookmarkEnd w:id="0"/>
                </w:p>
              </w:tc>
            </w:tr>
            <w:tr w:rsidR="00C7027A" w:rsidTr="001B72EF">
              <w:trPr>
                <w:jc w:val="center"/>
              </w:trPr>
              <w:tc>
                <w:tcPr>
                  <w:tcW w:w="697" w:type="dxa"/>
                </w:tcPr>
                <w:p w:rsidR="00C7027A" w:rsidRDefault="00C7027A" w:rsidP="00C7027A">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C7027A" w:rsidRDefault="00C7027A" w:rsidP="00C7027A">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内容简述</w:t>
                  </w:r>
                  <w:r>
                    <w:rPr>
                      <w:rFonts w:ascii="Times New Roman" w:hAnsi="宋体"/>
                      <w:b/>
                      <w:snapToGrid w:val="0"/>
                      <w:szCs w:val="21"/>
                      <w:lang w:eastAsia="zh-CN"/>
                    </w:rPr>
                    <w:t xml:space="preserve">: </w:t>
                  </w:r>
                  <w:r>
                    <w:rPr>
                      <w:rFonts w:ascii="Times New Roman" w:hAnsi="Times New Roman" w:hint="eastAsia"/>
                      <w:szCs w:val="21"/>
                      <w:lang w:eastAsia="zh-CN"/>
                    </w:rPr>
                    <w:t>本通报令目的是禁止注册、进出口、制作、配制、储存、分销、运输、重新包装、改包装、处理、销售、漂白及使用含涕灭威</w:t>
                  </w:r>
                  <w:r>
                    <w:rPr>
                      <w:rFonts w:ascii="Times New Roman" w:hAnsi="Times New Roman" w:hint="eastAsia"/>
                      <w:szCs w:val="21"/>
                      <w:lang w:eastAsia="zh-CN"/>
                    </w:rPr>
                    <w:t>(Aldicarb)</w:t>
                  </w:r>
                  <w:r>
                    <w:rPr>
                      <w:rFonts w:ascii="Times New Roman" w:hAnsi="Times New Roman" w:hint="eastAsia"/>
                      <w:szCs w:val="21"/>
                      <w:lang w:eastAsia="zh-CN"/>
                    </w:rPr>
                    <w:t>工业级活性成分及其配制合成杀虫剂并撤销第</w:t>
                  </w:r>
                  <w:r>
                    <w:rPr>
                      <w:rFonts w:ascii="Times New Roman" w:hAnsi="Times New Roman" w:hint="eastAsia"/>
                      <w:szCs w:val="21"/>
                      <w:lang w:eastAsia="zh-CN"/>
                    </w:rPr>
                    <w:t>34147-S-MAG-TSS-MINAE</w:t>
                  </w:r>
                  <w:r>
                    <w:rPr>
                      <w:rFonts w:ascii="Times New Roman" w:hAnsi="Times New Roman" w:hint="eastAsia"/>
                      <w:szCs w:val="21"/>
                      <w:lang w:eastAsia="zh-CN"/>
                    </w:rPr>
                    <w:t>号执行令。</w:t>
                  </w:r>
                </w:p>
              </w:tc>
            </w:tr>
            <w:tr w:rsidR="00C7027A" w:rsidTr="001B72EF">
              <w:trPr>
                <w:jc w:val="center"/>
              </w:trPr>
              <w:tc>
                <w:tcPr>
                  <w:tcW w:w="697" w:type="dxa"/>
                </w:tcPr>
                <w:p w:rsidR="00C7027A" w:rsidRDefault="00C7027A" w:rsidP="00C7027A">
                  <w:pPr>
                    <w:snapToGrid w:val="0"/>
                    <w:jc w:val="center"/>
                    <w:rPr>
                      <w:rFonts w:ascii="Times New Roman" w:hAnsi="宋体"/>
                      <w:snapToGrid w:val="0"/>
                      <w:szCs w:val="21"/>
                    </w:rPr>
                  </w:pPr>
                  <w:r>
                    <w:rPr>
                      <w:rFonts w:ascii="Times New Roman" w:hAnsi="宋体"/>
                      <w:b/>
                      <w:snapToGrid w:val="0"/>
                      <w:szCs w:val="21"/>
                    </w:rPr>
                    <w:t>7.</w:t>
                  </w:r>
                </w:p>
              </w:tc>
              <w:tc>
                <w:tcPr>
                  <w:tcW w:w="8290" w:type="dxa"/>
                </w:tcPr>
                <w:p w:rsidR="00C7027A" w:rsidRDefault="00C7027A" w:rsidP="00C7027A">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保护国家免受有害生物的其它危害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C7027A" w:rsidTr="001B72EF">
              <w:trPr>
                <w:jc w:val="center"/>
              </w:trPr>
              <w:tc>
                <w:tcPr>
                  <w:tcW w:w="697" w:type="dxa"/>
                </w:tcPr>
                <w:p w:rsidR="00C7027A" w:rsidRDefault="00C7027A" w:rsidP="00C7027A">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C7027A" w:rsidRDefault="00C7027A" w:rsidP="00C7027A">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C7027A" w:rsidRPr="00C7027A" w:rsidRDefault="00C7027A" w:rsidP="00C7027A">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C7027A" w:rsidRPr="00C7027A" w:rsidRDefault="00C7027A" w:rsidP="00C7027A">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C7027A" w:rsidRPr="00C7027A" w:rsidRDefault="00C7027A" w:rsidP="00C7027A">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r>
                    <w:rPr>
                      <w:rFonts w:ascii="Times New Roman" w:hAnsi="宋体"/>
                      <w:b/>
                      <w:snapToGrid w:val="0"/>
                      <w:szCs w:val="21"/>
                      <w:lang w:eastAsia="zh-CN"/>
                    </w:rPr>
                    <w:t>该法规草案是否符合相关国际标准？</w:t>
                  </w:r>
                </w:p>
                <w:p w:rsidR="00C7027A" w:rsidRDefault="00C7027A" w:rsidP="00C7027A">
                  <w:pPr>
                    <w:snapToGrid w:val="0"/>
                    <w:jc w:val="left"/>
                    <w:rPr>
                      <w:rFonts w:ascii="Times New Roman" w:hAnsi="Times New Roman"/>
                      <w:b/>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C7027A" w:rsidRDefault="00C7027A" w:rsidP="00C7027A">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p>
              </w:tc>
            </w:tr>
            <w:tr w:rsidR="00C7027A" w:rsidTr="001B72EF">
              <w:trPr>
                <w:jc w:val="center"/>
              </w:trPr>
              <w:tc>
                <w:tcPr>
                  <w:tcW w:w="697" w:type="dxa"/>
                </w:tcPr>
                <w:p w:rsidR="00C7027A" w:rsidRDefault="00C7027A" w:rsidP="00C7027A">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C7027A" w:rsidRDefault="00C7027A" w:rsidP="00C7027A">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控制危险废物越境转移及其处置的巴塞尔公约</w:t>
                  </w:r>
                  <w:r>
                    <w:rPr>
                      <w:rFonts w:ascii="Times New Roman" w:hAnsi="Times New Roman"/>
                      <w:szCs w:val="21"/>
                      <w:lang w:eastAsia="zh-CN"/>
                    </w:rPr>
                    <w:t>;</w:t>
                  </w:r>
                  <w:r>
                    <w:rPr>
                      <w:rFonts w:ascii="Times New Roman" w:hAnsi="Times New Roman"/>
                      <w:szCs w:val="21"/>
                      <w:lang w:eastAsia="zh-CN"/>
                    </w:rPr>
                    <w:cr/>
                    <w:t xml:space="preserve">
</w:t>
                  </w:r>
                  <w:r>
                    <w:rPr>
                      <w:rFonts w:ascii="Times New Roman" w:hAnsi="Times New Roman"/>
                      <w:szCs w:val="21"/>
                      <w:lang w:eastAsia="zh-CN"/>
                    </w:rPr>
                    <w:t>关于持久性有机污染物的斯德哥尔摩公约</w:t>
                  </w:r>
                  <w:r>
                    <w:rPr>
                      <w:rFonts w:ascii="Times New Roman" w:hAnsi="Times New Roman"/>
                      <w:szCs w:val="21"/>
                      <w:lang w:eastAsia="zh-CN"/>
                    </w:rPr>
                    <w:t>;</w:t>
                  </w:r>
                  <w:r>
                    <w:rPr>
                      <w:rFonts w:ascii="Times New Roman" w:hAnsi="Times New Roman"/>
                      <w:szCs w:val="21"/>
                      <w:lang w:eastAsia="zh-CN"/>
                    </w:rPr>
                    <w:cr/>
                    <w:t xml:space="preserve">
</w:t>
                  </w:r>
                  <w:r>
                    <w:rPr>
                      <w:rFonts w:ascii="Times New Roman" w:hAnsi="Times New Roman"/>
                      <w:szCs w:val="21"/>
                      <w:lang w:eastAsia="zh-CN"/>
                    </w:rPr>
                    <w:t>鹿特丹公约</w:t>
                  </w:r>
                  <w:r>
                    <w:rPr>
                      <w:rFonts w:ascii="Times New Roman" w:hAnsi="Times New Roman"/>
                      <w:szCs w:val="21"/>
                      <w:lang w:eastAsia="zh-CN"/>
                    </w:rPr>
                    <w:cr/>
                    <w:t xml:space="preserve">
</w:t>
                  </w:r>
                </w:p>
              </w:tc>
            </w:tr>
            <w:tr w:rsidR="00C7027A" w:rsidTr="001B72EF">
              <w:trPr>
                <w:jc w:val="center"/>
              </w:trPr>
              <w:tc>
                <w:tcPr>
                  <w:tcW w:w="697" w:type="dxa"/>
                </w:tcPr>
                <w:p w:rsidR="00C7027A" w:rsidRDefault="00C7027A" w:rsidP="00C7027A">
                  <w:pPr>
                    <w:snapToGrid w:val="0"/>
                    <w:jc w:val="center"/>
                    <w:rPr>
                      <w:rFonts w:ascii="Times New Roman" w:hAnsi="宋体"/>
                      <w:b/>
                      <w:snapToGrid w:val="0"/>
                      <w:szCs w:val="21"/>
                    </w:rPr>
                  </w:pPr>
                  <w:r>
                    <w:rPr>
                      <w:rFonts w:ascii="Times New Roman" w:hAnsi="宋体"/>
                      <w:b/>
                      <w:snapToGrid w:val="0"/>
                      <w:szCs w:val="21"/>
                    </w:rPr>
                    <w:t>10.</w:t>
                  </w:r>
                </w:p>
              </w:tc>
              <w:tc>
                <w:tcPr>
                  <w:tcW w:w="8290" w:type="dxa"/>
                </w:tcPr>
                <w:p w:rsidR="00C7027A" w:rsidRDefault="00C7027A" w:rsidP="00C7027A">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2014</w:t>
                  </w:r>
                  <w:r>
                    <w:rPr>
                      <w:rFonts w:ascii="Times New Roman" w:hAnsi="Times New Roman"/>
                      <w:szCs w:val="21"/>
                      <w:lang w:eastAsia="zh-CN"/>
                    </w:rPr>
                    <w:t>年</w:t>
                  </w:r>
                  <w:r>
                    <w:rPr>
                      <w:rFonts w:ascii="Times New Roman" w:hAnsi="Times New Roman"/>
                      <w:szCs w:val="21"/>
                      <w:lang w:eastAsia="zh-CN"/>
                    </w:rPr>
                    <w:t>11</w:t>
                  </w:r>
                  <w:r>
                    <w:rPr>
                      <w:rFonts w:ascii="Times New Roman" w:hAnsi="Times New Roman"/>
                      <w:szCs w:val="21"/>
                      <w:lang w:eastAsia="zh-CN"/>
                    </w:rPr>
                    <w:t>月</w:t>
                  </w:r>
                  <w:r>
                    <w:rPr>
                      <w:rFonts w:ascii="Times New Roman" w:hAnsi="Times New Roman"/>
                      <w:szCs w:val="21"/>
                      <w:lang w:eastAsia="zh-CN"/>
                    </w:rPr>
                    <w:t>19</w:t>
                  </w:r>
                  <w:r>
                    <w:rPr>
                      <w:rFonts w:ascii="Times New Roman" w:hAnsi="Times New Roman"/>
                      <w:szCs w:val="21"/>
                      <w:lang w:eastAsia="zh-CN"/>
                    </w:rPr>
                    <w:t>日</w:t>
                  </w:r>
                  <w:r>
                    <w:rPr>
                      <w:rFonts w:ascii="Times New Roman" w:hAnsi="宋体"/>
                      <w:snapToGrid w:val="0"/>
                      <w:szCs w:val="21"/>
                      <w:lang w:eastAsia="zh-CN"/>
                    </w:rPr>
                    <w:t xml:space="preserve">   </w:t>
                  </w:r>
                </w:p>
                <w:p w:rsidR="00C7027A" w:rsidRDefault="00C7027A" w:rsidP="00C7027A">
                  <w:pPr>
                    <w:keepNext/>
                    <w:keepLines/>
                    <w:tabs>
                      <w:tab w:val="center" w:pos="4132"/>
                    </w:tabs>
                    <w:snapToGrid w:val="0"/>
                    <w:jc w:val="left"/>
                    <w:rPr>
                      <w:rFonts w:ascii="Times New Roman" w:hAnsi="宋体"/>
                      <w:snapToGrid w:val="0"/>
                      <w:szCs w:val="21"/>
                      <w:lang w:eastAsia="zh-CN"/>
                    </w:rPr>
                  </w:pPr>
                  <w:r>
                    <w:rPr>
                      <w:rFonts w:ascii="Times New Roman" w:hAnsi="宋体"/>
                      <w:b/>
                      <w:snapToGrid w:val="0"/>
                      <w:color w:val="000000"/>
                      <w:szCs w:val="21"/>
                      <w:lang w:eastAsia="zh-CN"/>
                    </w:rPr>
                    <w:t>拟公布日期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Times New Roman" w:hint="eastAsia"/>
                      <w:szCs w:val="21"/>
                      <w:lang w:eastAsia="zh-CN"/>
                    </w:rPr>
                    <w:t xml:space="preserve"> </w:t>
                  </w:r>
                  <w:r>
                    <w:rPr>
                      <w:rFonts w:ascii="Times New Roman" w:hAnsi="Times New Roman"/>
                      <w:szCs w:val="21"/>
                      <w:lang w:eastAsia="zh-CN"/>
                    </w:rPr>
                    <w:t>2014</w:t>
                  </w:r>
                  <w:r>
                    <w:rPr>
                      <w:rFonts w:ascii="Times New Roman" w:hAnsi="Times New Roman"/>
                      <w:szCs w:val="21"/>
                      <w:lang w:eastAsia="zh-CN"/>
                    </w:rPr>
                    <w:t>年</w:t>
                  </w:r>
                  <w:r>
                    <w:rPr>
                      <w:rFonts w:ascii="Times New Roman" w:hAnsi="Times New Roman"/>
                      <w:szCs w:val="21"/>
                      <w:lang w:eastAsia="zh-CN"/>
                    </w:rPr>
                    <w:t>11</w:t>
                  </w:r>
                  <w:r>
                    <w:rPr>
                      <w:rFonts w:ascii="Times New Roman" w:hAnsi="Times New Roman"/>
                      <w:szCs w:val="21"/>
                      <w:lang w:eastAsia="zh-CN"/>
                    </w:rPr>
                    <w:t>月</w:t>
                  </w:r>
                  <w:r>
                    <w:rPr>
                      <w:rFonts w:ascii="Times New Roman" w:hAnsi="Times New Roman"/>
                      <w:szCs w:val="21"/>
                      <w:lang w:eastAsia="zh-CN"/>
                    </w:rPr>
                    <w:t>19</w:t>
                  </w:r>
                  <w:r>
                    <w:rPr>
                      <w:rFonts w:ascii="Times New Roman" w:hAnsi="Times New Roman"/>
                      <w:szCs w:val="21"/>
                      <w:lang w:eastAsia="zh-CN"/>
                    </w:rPr>
                    <w:t>日</w:t>
                  </w:r>
                  <w:r>
                    <w:rPr>
                      <w:rFonts w:ascii="Times New Roman" w:hAnsi="宋体"/>
                      <w:b/>
                      <w:snapToGrid w:val="0"/>
                      <w:color w:val="000000"/>
                      <w:szCs w:val="21"/>
                      <w:lang w:eastAsia="zh-CN"/>
                    </w:rPr>
                    <w:t xml:space="preserve">   </w:t>
                  </w:r>
                  <w:r>
                    <w:rPr>
                      <w:rFonts w:ascii="Times New Roman" w:hAnsi="宋体"/>
                      <w:b/>
                      <w:snapToGrid w:val="0"/>
                      <w:color w:val="000000"/>
                      <w:szCs w:val="21"/>
                      <w:lang w:eastAsia="zh-CN"/>
                    </w:rPr>
                    <w:tab/>
                  </w:r>
                </w:p>
              </w:tc>
            </w:tr>
            <w:tr w:rsidR="00C7027A" w:rsidTr="001B72EF">
              <w:trPr>
                <w:jc w:val="center"/>
              </w:trPr>
              <w:tc>
                <w:tcPr>
                  <w:tcW w:w="697" w:type="dxa"/>
                </w:tcPr>
                <w:p w:rsidR="00C7027A" w:rsidRDefault="00C7027A" w:rsidP="00C7027A">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C7027A" w:rsidRDefault="00C7027A" w:rsidP="00C7027A">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C7027A" w:rsidRDefault="00C7027A" w:rsidP="00C7027A">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2014</w:t>
                  </w:r>
                  <w:r>
                    <w:rPr>
                      <w:rFonts w:ascii="Times New Roman" w:hAnsi="Times New Roman"/>
                      <w:szCs w:val="21"/>
                      <w:lang w:eastAsia="zh-CN"/>
                    </w:rPr>
                    <w:t>年</w:t>
                  </w:r>
                  <w:r>
                    <w:rPr>
                      <w:rFonts w:ascii="Times New Roman" w:hAnsi="Times New Roman"/>
                      <w:szCs w:val="21"/>
                      <w:lang w:eastAsia="zh-CN"/>
                    </w:rPr>
                    <w:t>5</w:t>
                  </w:r>
                  <w:r>
                    <w:rPr>
                      <w:rFonts w:ascii="Times New Roman" w:hAnsi="Times New Roman"/>
                      <w:szCs w:val="21"/>
                      <w:lang w:eastAsia="zh-CN"/>
                    </w:rPr>
                    <w:t>月</w:t>
                  </w:r>
                  <w:r>
                    <w:rPr>
                      <w:rFonts w:ascii="Times New Roman" w:hAnsi="Times New Roman"/>
                      <w:szCs w:val="21"/>
                      <w:lang w:eastAsia="zh-CN"/>
                    </w:rPr>
                    <w:t>15</w:t>
                  </w:r>
                  <w:r>
                    <w:rPr>
                      <w:rFonts w:ascii="Times New Roman" w:hAnsi="Times New Roman"/>
                      <w:szCs w:val="21"/>
                      <w:lang w:eastAsia="zh-CN"/>
                    </w:rPr>
                    <w:t>日。自然人和法人注册、进出口、生产、配制、储存、分销、运输、重新包装、处理、销售、漂白及使用含涕灭威</w:t>
                  </w:r>
                  <w:r>
                    <w:rPr>
                      <w:rFonts w:ascii="Times New Roman" w:hAnsi="Times New Roman"/>
                      <w:szCs w:val="21"/>
                      <w:lang w:eastAsia="zh-CN"/>
                    </w:rPr>
                    <w:t>(Aldicarb)</w:t>
                  </w:r>
                  <w:r>
                    <w:rPr>
                      <w:rFonts w:ascii="Times New Roman" w:hAnsi="Times New Roman"/>
                      <w:szCs w:val="21"/>
                      <w:lang w:eastAsia="zh-CN"/>
                    </w:rPr>
                    <w:t>工业级活性成分及其配制合成杀虫剂自本指令公布于官方公报日起将有</w:t>
                  </w:r>
                  <w:r>
                    <w:rPr>
                      <w:rFonts w:ascii="Times New Roman" w:hAnsi="Times New Roman"/>
                      <w:szCs w:val="21"/>
                      <w:lang w:eastAsia="zh-CN"/>
                    </w:rPr>
                    <w:t>6</w:t>
                  </w:r>
                  <w:r>
                    <w:rPr>
                      <w:rFonts w:ascii="Times New Roman" w:hAnsi="Times New Roman"/>
                      <w:szCs w:val="21"/>
                      <w:lang w:eastAsia="zh-CN"/>
                    </w:rPr>
                    <w:t>个月的期限直至用完其国内市场上的存货。</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C7027A" w:rsidRDefault="00C7027A" w:rsidP="00C7027A">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贸易促进措施</w:t>
                  </w:r>
                  <w:r>
                    <w:rPr>
                      <w:rFonts w:ascii="Times New Roman" w:hAnsi="Times New Roman"/>
                      <w:b/>
                      <w:snapToGrid w:val="0"/>
                      <w:szCs w:val="21"/>
                    </w:rPr>
                    <w:t xml:space="preserve">     </w:t>
                  </w:r>
                </w:p>
              </w:tc>
            </w:tr>
            <w:tr w:rsidR="00C7027A" w:rsidTr="001B72EF">
              <w:trPr>
                <w:jc w:val="center"/>
              </w:trPr>
              <w:tc>
                <w:tcPr>
                  <w:tcW w:w="697" w:type="dxa"/>
                </w:tcPr>
                <w:p w:rsidR="00C7027A" w:rsidRDefault="00C7027A" w:rsidP="00C7027A">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C7027A" w:rsidRDefault="00C7027A" w:rsidP="00C7027A">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不适用</w:t>
                  </w:r>
                </w:p>
                <w:p w:rsidR="00C7027A" w:rsidRPr="00C7027A" w:rsidRDefault="00C7027A" w:rsidP="00C7027A">
                  <w:pPr>
                    <w:snapToGrid w:val="0"/>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p>
              </w:tc>
            </w:tr>
            <w:tr w:rsidR="00C7027A" w:rsidTr="001B72EF">
              <w:trPr>
                <w:trHeight w:val="345"/>
                <w:jc w:val="center"/>
              </w:trPr>
              <w:tc>
                <w:tcPr>
                  <w:tcW w:w="697" w:type="dxa"/>
                </w:tcPr>
                <w:p w:rsidR="00C7027A" w:rsidRDefault="00C7027A" w:rsidP="00C7027A">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C7027A" w:rsidRDefault="00C7027A" w:rsidP="00C7027A">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MinisteriodeAgriculturayGanaderíaServicioFitosanitariodelEstado(SFE)CentrodeInformaciónyNotificaciónMSFApartadoPostal1521-1200SanJosé,CostaRicaTel.:+(506)25493454Fax:+(506)25493598Email:puntocontactoMSF@sfe.go.cr</w:t>
                  </w:r>
                  <w:r>
                    <w:rPr>
                      <w:rFonts w:ascii="Times New Roman" w:hAnsi="宋体"/>
                      <w:b/>
                      <w:snapToGrid w:val="0"/>
                      <w:color w:val="000000"/>
                      <w:szCs w:val="21"/>
                      <w:lang w:eastAsia="zh-CN"/>
                    </w:rPr>
                    <w:t xml:space="preserve"> </w:t>
                  </w:r>
                </w:p>
              </w:tc>
            </w:tr>
          </w:tbl>
          <w:p w:rsidR="00C7027A" w:rsidRDefault="00C7027A" w:rsidP="00C7027A">
            <w:pPr>
              <w:rPr>
                <w:lang w:eastAsia="zh-CN"/>
              </w:rPr>
            </w:pPr>
          </w:p>
        </w:tc>
      </w:tr>
      <w:tr w:rsidR="00C7027A" w:rsidTr="001B72EF">
        <w:trPr>
          <w:jc w:val="center"/>
        </w:trPr>
        <w:tc>
          <w:tcPr>
            <w:tcW w:w="9032" w:type="dxa"/>
            <w:vAlign w:val="center"/>
          </w:tcPr>
          <w:p w:rsidR="00C7027A" w:rsidRDefault="00C7027A" w:rsidP="00C7027A">
            <w:pPr>
              <w:rPr>
                <w:lang w:eastAsia="zh-CN"/>
              </w:rPr>
            </w:pPr>
          </w:p>
        </w:tc>
      </w:tr>
    </w:tbl>
    <w:p w:rsidR="00A16CCD" w:rsidRPr="00C7027A" w:rsidRDefault="00A16CCD" w:rsidP="00C7027A">
      <w:pPr>
        <w:rPr>
          <w:lang w:eastAsia="zh-CN"/>
        </w:rPr>
      </w:pPr>
    </w:p>
    <w:sectPr w:rsidR="00A16CCD" w:rsidRPr="00C7027A" w:rsidSect="00DB4CE8">
      <w:headerReference w:type="default" r:id="rId9"/>
      <w:footerReference w:type="even" r:id="rId10"/>
      <w:footerReference w:type="default" r:id="rId11"/>
      <w:footerReference w:type="first" r:id="rId12"/>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3C9" w:rsidRDefault="004043C9" w:rsidP="00A16CCD">
      <w:r>
        <w:separator/>
      </w:r>
    </w:p>
  </w:endnote>
  <w:endnote w:type="continuationSeparator" w:id="1">
    <w:p w:rsidR="004043C9" w:rsidRDefault="004043C9"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3C9" w:rsidRDefault="004043C9" w:rsidP="00A16CCD">
      <w:r>
        <w:separator/>
      </w:r>
    </w:p>
  </w:footnote>
  <w:footnote w:type="continuationSeparator" w:id="1">
    <w:p w:rsidR="004043C9" w:rsidRDefault="004043C9"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325480"/>
    <w:multiLevelType w:val="hybridMultilevel"/>
    <w:tmpl w:val="F14461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3">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5">
    <w:nsid w:val="57454AB1"/>
    <w:multiLevelType w:val="multilevel"/>
    <w:tmpl w:val="075A666C"/>
    <w:numStyleLink w:val="LegalHeadings"/>
  </w:abstractNum>
  <w:abstractNum w:abstractNumId="26">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7">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9">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1">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6"/>
  </w:num>
  <w:num w:numId="7">
    <w:abstractNumId w:val="2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9"/>
  </w:num>
  <w:num w:numId="18">
    <w:abstractNumId w:val="22"/>
  </w:num>
  <w:num w:numId="19">
    <w:abstractNumId w:val="32"/>
  </w:num>
  <w:num w:numId="20">
    <w:abstractNumId w:val="16"/>
  </w:num>
  <w:num w:numId="21">
    <w:abstractNumId w:val="31"/>
  </w:num>
  <w:num w:numId="22">
    <w:abstractNumId w:val="20"/>
  </w:num>
  <w:num w:numId="23">
    <w:abstractNumId w:val="13"/>
  </w:num>
  <w:num w:numId="24">
    <w:abstractNumId w:val="21"/>
  </w:num>
  <w:num w:numId="25">
    <w:abstractNumId w:val="28"/>
  </w:num>
  <w:num w:numId="26">
    <w:abstractNumId w:val="27"/>
  </w:num>
  <w:num w:numId="27">
    <w:abstractNumId w:val="23"/>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9"/>
  </w:num>
  <w:num w:numId="32">
    <w:abstractNumId w:val="14"/>
  </w:num>
  <w:num w:numId="33">
    <w:abstractNumId w:val="12"/>
  </w:num>
  <w:num w:numId="3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24578"/>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00C9"/>
    <w:rsid w:val="003237ED"/>
    <w:rsid w:val="003312F8"/>
    <w:rsid w:val="00336E97"/>
    <w:rsid w:val="0034563B"/>
    <w:rsid w:val="0034641D"/>
    <w:rsid w:val="003813B9"/>
    <w:rsid w:val="00394052"/>
    <w:rsid w:val="003A178D"/>
    <w:rsid w:val="004043C9"/>
    <w:rsid w:val="00457103"/>
    <w:rsid w:val="00462370"/>
    <w:rsid w:val="00463C3F"/>
    <w:rsid w:val="00463FD9"/>
    <w:rsid w:val="00470572"/>
    <w:rsid w:val="004B6514"/>
    <w:rsid w:val="004E5FF0"/>
    <w:rsid w:val="0050376D"/>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96093"/>
    <w:rsid w:val="009C01AE"/>
    <w:rsid w:val="009E03AF"/>
    <w:rsid w:val="009E3C21"/>
    <w:rsid w:val="009F6F03"/>
    <w:rsid w:val="00A16CCD"/>
    <w:rsid w:val="00A2560E"/>
    <w:rsid w:val="00A7281D"/>
    <w:rsid w:val="00AA1097"/>
    <w:rsid w:val="00AC5975"/>
    <w:rsid w:val="00AD3615"/>
    <w:rsid w:val="00B73C74"/>
    <w:rsid w:val="00B80866"/>
    <w:rsid w:val="00BB2E4C"/>
    <w:rsid w:val="00BF7592"/>
    <w:rsid w:val="00C3741B"/>
    <w:rsid w:val="00C7027A"/>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members.wto.org/crnattachments/2015/SPS/CRI/15_1367_00_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5275</Characters>
  <Application>Microsoft Office Word</Application>
  <DocSecurity>0</DocSecurity>
  <Lines>43</Lines>
  <Paragraphs>12</Paragraphs>
  <ScaleCrop>false</ScaleCrop>
  <LinksUpToDate>false</LinksUpToDate>
  <CharactersWithSpaces>6188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2015-04-08T15:02:00Z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