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2115"/>
        <w:gridCol w:w="3318"/>
      </w:tblGrid>
      <w:tr w:rsidR="00E70AB9" w:rsidRPr="00A37ED0" w:rsidTr="00E70AB9">
        <w:trPr>
          <w:trHeight w:val="240"/>
          <w:jc w:val="center"/>
        </w:trPr>
        <w:tc>
          <w:tcPr>
            <w:tcW w:w="2061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0AB9" w:rsidRPr="00A37ED0" w:rsidRDefault="00E70AB9" w:rsidP="00194A10">
            <w:pPr>
              <w:rPr>
                <w:rFonts w:eastAsia="Verdana" w:cs="Verdana"/>
                <w:noProof/>
                <w:szCs w:val="18"/>
                <w:lang w:eastAsia="en-GB"/>
              </w:rPr>
            </w:pPr>
          </w:p>
        </w:tc>
        <w:tc>
          <w:tcPr>
            <w:tcW w:w="2939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b/>
                <w:color w:val="FF0000"/>
                <w:szCs w:val="18"/>
              </w:rPr>
            </w:pPr>
          </w:p>
        </w:tc>
      </w:tr>
      <w:tr w:rsidR="00E70AB9" w:rsidRPr="00A37ED0" w:rsidTr="00E70AB9">
        <w:trPr>
          <w:trHeight w:val="213"/>
          <w:jc w:val="center"/>
        </w:trPr>
        <w:tc>
          <w:tcPr>
            <w:tcW w:w="2061" w:type="pct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70AB9" w:rsidRPr="00A37ED0" w:rsidRDefault="00E70AB9" w:rsidP="00194A10">
            <w:pPr>
              <w:jc w:val="left"/>
              <w:rPr>
                <w:rFonts w:eastAsia="Verdana" w:cs="Verdana"/>
                <w:szCs w:val="18"/>
              </w:rPr>
            </w:pPr>
            <w:r>
              <w:rPr>
                <w:rFonts w:eastAsia="Verdana" w:cs="Verdana"/>
                <w:noProof/>
                <w:szCs w:val="18"/>
                <w:lang w:val="en-US" w:eastAsia="zh-CN"/>
              </w:rPr>
              <w:drawing>
                <wp:inline distT="0" distB="0" distL="0" distR="0" wp14:anchorId="32C4AE8A" wp14:editId="3E68AEFD">
                  <wp:extent cx="2419350" cy="714375"/>
                  <wp:effectExtent l="0" t="0" r="0" b="0"/>
                  <wp:docPr id="2" name="图片 2" descr="WTO_COLOR_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TO_COLOR_EN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9" w:type="pct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b/>
                <w:szCs w:val="18"/>
              </w:rPr>
            </w:pPr>
          </w:p>
        </w:tc>
      </w:tr>
      <w:tr w:rsidR="00E70AB9" w:rsidRPr="00A37ED0" w:rsidTr="00E70AB9">
        <w:trPr>
          <w:trHeight w:val="868"/>
          <w:jc w:val="center"/>
        </w:trPr>
        <w:tc>
          <w:tcPr>
            <w:tcW w:w="2061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194A10">
            <w:pPr>
              <w:jc w:val="left"/>
              <w:rPr>
                <w:rFonts w:eastAsia="Verdana" w:cs="Verdana"/>
                <w:noProof/>
                <w:szCs w:val="18"/>
                <w:lang w:eastAsia="en-GB"/>
              </w:rPr>
            </w:pPr>
          </w:p>
        </w:tc>
        <w:tc>
          <w:tcPr>
            <w:tcW w:w="2939" w:type="pct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b/>
                <w:szCs w:val="18"/>
              </w:rPr>
            </w:pPr>
            <w:r w:rsidRPr="00A37ED0">
              <w:rPr>
                <w:b/>
                <w:szCs w:val="18"/>
              </w:rPr>
              <w:t>G/SPS/N/CRI/155</w:t>
            </w:r>
          </w:p>
        </w:tc>
      </w:tr>
      <w:tr w:rsidR="00E70AB9" w:rsidRPr="00A37ED0" w:rsidTr="00E70AB9">
        <w:trPr>
          <w:trHeight w:val="240"/>
          <w:jc w:val="center"/>
        </w:trPr>
        <w:tc>
          <w:tcPr>
            <w:tcW w:w="2061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0AB9" w:rsidRPr="00A37ED0" w:rsidRDefault="00E70AB9" w:rsidP="00194A10">
            <w:pPr>
              <w:rPr>
                <w:rFonts w:eastAsia="Verdana" w:cs="Verdana"/>
                <w:szCs w:val="18"/>
              </w:rPr>
            </w:pPr>
          </w:p>
        </w:tc>
        <w:tc>
          <w:tcPr>
            <w:tcW w:w="2939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szCs w:val="18"/>
              </w:rPr>
            </w:pPr>
            <w:r>
              <w:rPr>
                <w:rFonts w:eastAsia="Verdana" w:cs="Verdana"/>
                <w:szCs w:val="18"/>
              </w:rPr>
              <w:t>27 March 2015</w:t>
            </w:r>
          </w:p>
        </w:tc>
      </w:tr>
      <w:tr w:rsidR="00E70AB9" w:rsidRPr="00A37ED0" w:rsidTr="00E70AB9">
        <w:trPr>
          <w:trHeight w:val="412"/>
          <w:jc w:val="center"/>
        </w:trPr>
        <w:tc>
          <w:tcPr>
            <w:tcW w:w="320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70AB9" w:rsidRPr="00A37ED0" w:rsidRDefault="00E70AB9" w:rsidP="00194A10">
            <w:pPr>
              <w:jc w:val="left"/>
              <w:rPr>
                <w:rFonts w:eastAsia="Verdana" w:cs="Verdana"/>
                <w:b/>
                <w:szCs w:val="18"/>
              </w:rPr>
            </w:pPr>
            <w:r w:rsidRPr="00A37ED0">
              <w:rPr>
                <w:rFonts w:eastAsia="Verdana" w:cs="Verdana"/>
                <w:color w:val="FF0000"/>
                <w:szCs w:val="18"/>
              </w:rPr>
              <w:t>(</w:t>
            </w:r>
            <w:r>
              <w:rPr>
                <w:rFonts w:eastAsia="Verdana" w:cs="Verdana"/>
                <w:color w:val="FF0000"/>
                <w:szCs w:val="18"/>
              </w:rPr>
              <w:t>15-1727</w:t>
            </w:r>
            <w:r w:rsidRPr="00A37ED0">
              <w:rPr>
                <w:rFonts w:eastAsia="Verdana" w:cs="Verdana"/>
                <w:color w:val="FF0000"/>
                <w:szCs w:val="18"/>
              </w:rPr>
              <w:t>)</w:t>
            </w:r>
          </w:p>
        </w:tc>
        <w:tc>
          <w:tcPr>
            <w:tcW w:w="179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szCs w:val="18"/>
              </w:rPr>
            </w:pPr>
            <w:r w:rsidRPr="00A37ED0">
              <w:rPr>
                <w:rFonts w:eastAsia="Verdana" w:cs="Verdana"/>
                <w:szCs w:val="18"/>
              </w:rPr>
              <w:t xml:space="preserve">Page: </w:t>
            </w:r>
            <w:r w:rsidRPr="00A37ED0">
              <w:rPr>
                <w:rFonts w:eastAsia="Verdana" w:cs="Verdana"/>
                <w:szCs w:val="18"/>
              </w:rPr>
              <w:fldChar w:fldCharType="begin"/>
            </w:r>
            <w:r w:rsidRPr="00A37ED0">
              <w:rPr>
                <w:rFonts w:eastAsia="Verdana" w:cs="Verdana"/>
                <w:szCs w:val="18"/>
              </w:rPr>
              <w:instrText xml:space="preserve"> PAGE  \* Arabic  \* MERGEFORMAT </w:instrText>
            </w:r>
            <w:r w:rsidRPr="00A37ED0">
              <w:rPr>
                <w:rFonts w:eastAsia="Verdana" w:cs="Verdana"/>
                <w:szCs w:val="18"/>
              </w:rPr>
              <w:fldChar w:fldCharType="separate"/>
            </w:r>
            <w:r>
              <w:rPr>
                <w:rFonts w:eastAsia="Verdana" w:cs="Verdana"/>
                <w:noProof/>
                <w:szCs w:val="18"/>
              </w:rPr>
              <w:t>1</w:t>
            </w:r>
            <w:r w:rsidRPr="00A37ED0">
              <w:rPr>
                <w:rFonts w:eastAsia="Verdana" w:cs="Verdana"/>
                <w:szCs w:val="18"/>
              </w:rPr>
              <w:fldChar w:fldCharType="end"/>
            </w:r>
            <w:r w:rsidRPr="00A37ED0">
              <w:rPr>
                <w:rFonts w:eastAsia="Verdana" w:cs="Verdana"/>
                <w:szCs w:val="18"/>
              </w:rPr>
              <w:t>/</w:t>
            </w:r>
            <w:r w:rsidRPr="00A37ED0">
              <w:rPr>
                <w:rFonts w:eastAsia="Verdana" w:cs="Verdana"/>
                <w:szCs w:val="18"/>
              </w:rPr>
              <w:fldChar w:fldCharType="begin"/>
            </w:r>
            <w:r w:rsidRPr="00A37ED0">
              <w:rPr>
                <w:rFonts w:eastAsia="Verdana" w:cs="Verdana"/>
                <w:szCs w:val="18"/>
              </w:rPr>
              <w:instrText xml:space="preserve"> NUMPAGES  \# "0" \* Arabic  \* MERGEFORMAT </w:instrText>
            </w:r>
            <w:r w:rsidRPr="00A37ED0">
              <w:rPr>
                <w:rFonts w:eastAsia="Verdana" w:cs="Verdana"/>
                <w:szCs w:val="18"/>
              </w:rPr>
              <w:fldChar w:fldCharType="separate"/>
            </w:r>
            <w:r>
              <w:rPr>
                <w:rFonts w:eastAsia="Verdana" w:cs="Verdana"/>
                <w:noProof/>
                <w:szCs w:val="18"/>
              </w:rPr>
              <w:t>2</w:t>
            </w:r>
            <w:r w:rsidRPr="00A37ED0">
              <w:rPr>
                <w:rFonts w:eastAsia="Verdana" w:cs="Verdana"/>
                <w:szCs w:val="18"/>
              </w:rPr>
              <w:fldChar w:fldCharType="end"/>
            </w:r>
          </w:p>
        </w:tc>
      </w:tr>
      <w:tr w:rsidR="00E70AB9" w:rsidRPr="00A37ED0" w:rsidTr="00E70AB9">
        <w:trPr>
          <w:trHeight w:val="240"/>
          <w:jc w:val="center"/>
        </w:trPr>
        <w:tc>
          <w:tcPr>
            <w:tcW w:w="320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70AB9" w:rsidRPr="00A37ED0" w:rsidRDefault="00E70AB9" w:rsidP="00194A10">
            <w:pPr>
              <w:jc w:val="left"/>
              <w:rPr>
                <w:rFonts w:eastAsia="Verdana" w:cs="Verdana"/>
                <w:szCs w:val="18"/>
              </w:rPr>
            </w:pPr>
            <w:r w:rsidRPr="00A37ED0">
              <w:rPr>
                <w:b/>
                <w:szCs w:val="18"/>
              </w:rPr>
              <w:t xml:space="preserve">Committee on Sanitary and </w:t>
            </w:r>
            <w:proofErr w:type="spellStart"/>
            <w:r w:rsidRPr="00A37ED0">
              <w:rPr>
                <w:b/>
                <w:szCs w:val="18"/>
              </w:rPr>
              <w:t>Phytosanitary</w:t>
            </w:r>
            <w:proofErr w:type="spellEnd"/>
            <w:r w:rsidRPr="00A37ED0">
              <w:rPr>
                <w:b/>
                <w:szCs w:val="18"/>
              </w:rPr>
              <w:t xml:space="preserve"> Measures</w:t>
            </w:r>
          </w:p>
        </w:tc>
        <w:tc>
          <w:tcPr>
            <w:tcW w:w="1795" w:type="pct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left w:w="108" w:type="dxa"/>
              <w:bottom w:w="57" w:type="dxa"/>
              <w:right w:w="108" w:type="dxa"/>
            </w:tcMar>
          </w:tcPr>
          <w:p w:rsidR="00E70AB9" w:rsidRPr="00A37ED0" w:rsidRDefault="00E70AB9" w:rsidP="00194A10">
            <w:pPr>
              <w:jc w:val="right"/>
              <w:rPr>
                <w:rFonts w:eastAsia="Verdana" w:cs="Verdana"/>
                <w:bCs/>
                <w:szCs w:val="18"/>
              </w:rPr>
            </w:pPr>
            <w:r w:rsidRPr="00A37ED0">
              <w:rPr>
                <w:rFonts w:eastAsia="Verdana" w:cs="Verdana"/>
                <w:bCs/>
                <w:szCs w:val="18"/>
              </w:rPr>
              <w:t>Original: Spanish</w:t>
            </w:r>
          </w:p>
        </w:tc>
      </w:tr>
    </w:tbl>
    <w:p w:rsidR="00E70AB9" w:rsidRPr="00A37ED0" w:rsidRDefault="00E70AB9" w:rsidP="00E70AB9">
      <w:pPr>
        <w:pStyle w:val="a6"/>
        <w:spacing w:before="0" w:after="0"/>
        <w:rPr>
          <w:caps w:val="0"/>
          <w:kern w:val="0"/>
        </w:rPr>
      </w:pPr>
      <w:r w:rsidRPr="00A37ED0">
        <w:rPr>
          <w:rStyle w:val="a6"/>
          <w:caps w:val="0"/>
          <w:kern w:val="0"/>
          <w:lang w:eastAsia="en-GB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3"/>
      </w:tblGrid>
      <w:tr w:rsidR="00E70AB9" w:rsidRPr="00A37ED0" w:rsidTr="00194A1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Notifying Member: </w:t>
            </w:r>
            <w:r w:rsidRPr="00A37ED0">
              <w:rPr>
                <w:rStyle w:val="a2"/>
                <w:u w:val="single"/>
              </w:rPr>
              <w:t>COSTA RICA</w:t>
            </w:r>
          </w:p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 xml:space="preserve">If applicable, name of local government involved: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Agency responsible: </w:t>
            </w:r>
            <w:proofErr w:type="spellStart"/>
            <w:r w:rsidRPr="00A37ED0">
              <w:rPr>
                <w:rStyle w:val="a2"/>
                <w:i/>
              </w:rPr>
              <w:t>Ministerio</w:t>
            </w:r>
            <w:proofErr w:type="spellEnd"/>
            <w:r w:rsidRPr="00A37ED0">
              <w:rPr>
                <w:rStyle w:val="a2"/>
                <w:i/>
              </w:rPr>
              <w:t xml:space="preserve"> de </w:t>
            </w:r>
            <w:proofErr w:type="spellStart"/>
            <w:r w:rsidRPr="00A37ED0">
              <w:rPr>
                <w:rStyle w:val="a2"/>
                <w:i/>
              </w:rPr>
              <w:t>Agricultura</w:t>
            </w:r>
            <w:proofErr w:type="spellEnd"/>
            <w:r w:rsidRPr="00A37ED0">
              <w:rPr>
                <w:rStyle w:val="a2"/>
                <w:i/>
              </w:rPr>
              <w:t xml:space="preserve"> y </w:t>
            </w:r>
            <w:proofErr w:type="spellStart"/>
            <w:r w:rsidRPr="00A37ED0">
              <w:rPr>
                <w:rStyle w:val="a2"/>
                <w:i/>
              </w:rPr>
              <w:t>Ganadería</w:t>
            </w:r>
            <w:proofErr w:type="spellEnd"/>
            <w:r w:rsidRPr="00A37ED0">
              <w:rPr>
                <w:rStyle w:val="a2"/>
                <w:i/>
              </w:rPr>
              <w:t xml:space="preserve">, </w:t>
            </w:r>
            <w:proofErr w:type="spellStart"/>
            <w:r w:rsidRPr="00A37ED0">
              <w:rPr>
                <w:rStyle w:val="a2"/>
                <w:i/>
              </w:rPr>
              <w:t>Servicio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Fitosanitario</w:t>
            </w:r>
            <w:proofErr w:type="spellEnd"/>
            <w:r w:rsidRPr="00A37ED0">
              <w:rPr>
                <w:rStyle w:val="a2"/>
                <w:i/>
              </w:rPr>
              <w:t xml:space="preserve"> del Estado</w:t>
            </w:r>
            <w:r w:rsidRPr="00A37ED0">
              <w:rPr>
                <w:rStyle w:val="a2"/>
              </w:rPr>
              <w:t xml:space="preserve">, SFE (Ministry of Agriculture and Livestock, State </w:t>
            </w:r>
            <w:proofErr w:type="spellStart"/>
            <w:r w:rsidRPr="00A37ED0">
              <w:rPr>
                <w:rStyle w:val="a2"/>
              </w:rPr>
              <w:t>Phytosanitary</w:t>
            </w:r>
            <w:proofErr w:type="spellEnd"/>
            <w:r w:rsidRPr="00A37ED0">
              <w:rPr>
                <w:rStyle w:val="a2"/>
              </w:rPr>
              <w:t xml:space="preserve"> Service)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A37ED0">
              <w:rPr>
                <w:rStyle w:val="a2"/>
              </w:rPr>
              <w:t xml:space="preserve">Raw materials or formulated products containing the agricultural pesticide </w:t>
            </w:r>
            <w:proofErr w:type="spellStart"/>
            <w:r w:rsidRPr="00A37ED0">
              <w:rPr>
                <w:rStyle w:val="a2"/>
              </w:rPr>
              <w:t>endosulfan</w:t>
            </w:r>
            <w:proofErr w:type="spellEnd"/>
            <w:r w:rsidRPr="00A37ED0">
              <w:rPr>
                <w:rStyle w:val="a2"/>
              </w:rPr>
              <w:t>.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Regions or countries likely to be affected, to the extent relevant or practicable:</w:t>
            </w:r>
          </w:p>
          <w:p w:rsidR="00E70AB9" w:rsidRPr="00A37ED0" w:rsidRDefault="00E70AB9" w:rsidP="00E70AB9">
            <w:pPr>
              <w:ind w:hanging="607"/>
              <w:rPr>
                <w:b/>
              </w:rPr>
            </w:pPr>
            <w:r w:rsidRPr="00A37ED0">
              <w:rPr>
                <w:rStyle w:val="a2"/>
                <w:b/>
              </w:rPr>
              <w:t>[X]</w:t>
            </w:r>
            <w:r w:rsidRPr="00A37ED0">
              <w:rPr>
                <w:rStyle w:val="a2"/>
                <w:b/>
              </w:rPr>
              <w:tab/>
              <w:t>All trading partners</w:t>
            </w:r>
          </w:p>
          <w:p w:rsidR="00E70AB9" w:rsidRPr="00A37ED0" w:rsidRDefault="00E70AB9" w:rsidP="00E70AB9">
            <w:pPr>
              <w:ind w:hanging="607"/>
              <w:rPr>
                <w:b/>
              </w:rPr>
            </w:pPr>
            <w:r w:rsidRPr="00A37ED0">
              <w:rPr>
                <w:rStyle w:val="a2"/>
                <w:b/>
              </w:rPr>
              <w:t>[ ]</w:t>
            </w:r>
            <w:r w:rsidRPr="00A37ED0">
              <w:rPr>
                <w:rStyle w:val="a2"/>
                <w:b/>
              </w:rPr>
              <w:tab/>
              <w:t xml:space="preserve">Specific regions or countries: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Title of the notified document: </w:t>
            </w:r>
            <w:proofErr w:type="spellStart"/>
            <w:r w:rsidRPr="00A37ED0">
              <w:rPr>
                <w:rStyle w:val="a2"/>
                <w:i/>
              </w:rPr>
              <w:t>Regulación</w:t>
            </w:r>
            <w:proofErr w:type="spellEnd"/>
            <w:r w:rsidRPr="00A37ED0">
              <w:rPr>
                <w:rStyle w:val="a2"/>
                <w:i/>
              </w:rPr>
              <w:t xml:space="preserve"> para el </w:t>
            </w:r>
            <w:proofErr w:type="spellStart"/>
            <w:r w:rsidRPr="00A37ED0">
              <w:rPr>
                <w:rStyle w:val="a2"/>
                <w:i/>
              </w:rPr>
              <w:t>Uso</w:t>
            </w:r>
            <w:proofErr w:type="spellEnd"/>
            <w:r w:rsidRPr="00A37ED0">
              <w:rPr>
                <w:rStyle w:val="a2"/>
                <w:i/>
              </w:rPr>
              <w:t xml:space="preserve"> y Control de </w:t>
            </w:r>
            <w:proofErr w:type="spellStart"/>
            <w:r w:rsidRPr="00A37ED0">
              <w:rPr>
                <w:rStyle w:val="a2"/>
                <w:i/>
              </w:rPr>
              <w:t>Materia</w:t>
            </w:r>
            <w:proofErr w:type="spellEnd"/>
            <w:r w:rsidRPr="00A37ED0">
              <w:rPr>
                <w:rStyle w:val="a2"/>
                <w:i/>
              </w:rPr>
              <w:t xml:space="preserve"> Prima o </w:t>
            </w:r>
            <w:proofErr w:type="spellStart"/>
            <w:r w:rsidRPr="00A37ED0">
              <w:rPr>
                <w:rStyle w:val="a2"/>
                <w:i/>
              </w:rPr>
              <w:t>Producto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Formulado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que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Contenga</w:t>
            </w:r>
            <w:proofErr w:type="spellEnd"/>
            <w:r w:rsidRPr="00A37ED0">
              <w:rPr>
                <w:rStyle w:val="a2"/>
                <w:i/>
              </w:rPr>
              <w:t xml:space="preserve"> el </w:t>
            </w:r>
            <w:proofErr w:type="spellStart"/>
            <w:r w:rsidRPr="00A37ED0">
              <w:rPr>
                <w:rStyle w:val="a2"/>
                <w:i/>
              </w:rPr>
              <w:t>Plaguicida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Agrícola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Endosulfán</w:t>
            </w:r>
            <w:proofErr w:type="spellEnd"/>
            <w:r w:rsidRPr="00A37ED0">
              <w:rPr>
                <w:rStyle w:val="a2"/>
              </w:rPr>
              <w:t xml:space="preserve"> (Regulation on the use and control of raw materials or formulated products containing the agricultural pesticide </w:t>
            </w:r>
            <w:proofErr w:type="spellStart"/>
            <w:r w:rsidRPr="00A37ED0">
              <w:rPr>
                <w:rStyle w:val="a2"/>
              </w:rPr>
              <w:t>endosulfan</w:t>
            </w:r>
            <w:proofErr w:type="spellEnd"/>
            <w:r w:rsidRPr="00A37ED0">
              <w:rPr>
                <w:rStyle w:val="a2"/>
              </w:rPr>
              <w:t xml:space="preserve">) </w:t>
            </w:r>
            <w:r w:rsidRPr="00A37ED0">
              <w:rPr>
                <w:rStyle w:val="a2"/>
                <w:b/>
              </w:rPr>
              <w:t xml:space="preserve">Language(s): </w:t>
            </w:r>
            <w:r w:rsidRPr="00A37ED0">
              <w:rPr>
                <w:rStyle w:val="a2"/>
              </w:rPr>
              <w:t xml:space="preserve">Spanish </w:t>
            </w:r>
            <w:r w:rsidRPr="00A37ED0">
              <w:rPr>
                <w:rStyle w:val="a2"/>
                <w:b/>
              </w:rPr>
              <w:t xml:space="preserve">Number of pages: </w:t>
            </w:r>
            <w:r w:rsidRPr="00A37ED0">
              <w:rPr>
                <w:rStyle w:val="a2"/>
              </w:rPr>
              <w:t>3</w:t>
            </w:r>
          </w:p>
          <w:p w:rsidR="00E70AB9" w:rsidRPr="00A37ED0" w:rsidRDefault="00E70AB9" w:rsidP="00E70AB9">
            <w:pPr>
              <w:rPr>
                <w:rStyle w:val="af3"/>
              </w:rPr>
            </w:pPr>
            <w:hyperlink r:id="rId9" w:history="1">
              <w:r w:rsidRPr="00A37ED0">
                <w:rPr>
                  <w:rStyle w:val="af3"/>
                </w:rPr>
                <w:t>http://members.wto.org/crnattachments/2015/SPS/CRI/15_1366_00_s.pdf</w:t>
              </w:r>
            </w:hyperlink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Description of content: </w:t>
            </w:r>
            <w:r w:rsidRPr="00A37ED0">
              <w:rPr>
                <w:rStyle w:val="a2"/>
              </w:rPr>
              <w:t xml:space="preserve">The notified text regulates the use, sale, handling, formulation and repacking of raw materials or formulated products containing the agricultural pesticide </w:t>
            </w:r>
            <w:proofErr w:type="spellStart"/>
            <w:r w:rsidRPr="00A37ED0">
              <w:rPr>
                <w:rStyle w:val="a2"/>
              </w:rPr>
              <w:t>endosulfan</w:t>
            </w:r>
            <w:proofErr w:type="spellEnd"/>
            <w:r w:rsidRPr="00A37ED0">
              <w:rPr>
                <w:rStyle w:val="a2"/>
              </w:rPr>
              <w:t xml:space="preserve">.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Objective and rationale: [X] food safety, [ ] animal health, [ ] plant protection, [X] protect humans from animal/plant pest or disease, [ ] protect territory from other damage from pests.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Is there a relevant international standard? If so, identify the standard:</w:t>
            </w:r>
          </w:p>
          <w:p w:rsidR="00E70AB9" w:rsidRPr="00A37ED0" w:rsidRDefault="00E70AB9" w:rsidP="00E70AB9">
            <w:pPr>
              <w:ind w:hanging="607"/>
            </w:pPr>
            <w:r w:rsidRPr="00A37ED0">
              <w:rPr>
                <w:rStyle w:val="a2"/>
                <w:b/>
              </w:rPr>
              <w:t>[ ]</w:t>
            </w:r>
            <w:r w:rsidRPr="00A37ED0">
              <w:rPr>
                <w:rStyle w:val="a2"/>
              </w:rPr>
              <w:tab/>
            </w:r>
            <w:r w:rsidRPr="00A37ED0">
              <w:rPr>
                <w:rStyle w:val="a2"/>
                <w:b/>
              </w:rPr>
              <w:t xml:space="preserve">Codex </w:t>
            </w:r>
            <w:proofErr w:type="spellStart"/>
            <w:r w:rsidRPr="00A37ED0">
              <w:rPr>
                <w:rStyle w:val="a2"/>
                <w:b/>
              </w:rPr>
              <w:t>Alimentarius</w:t>
            </w:r>
            <w:proofErr w:type="spellEnd"/>
            <w:r w:rsidRPr="00A37ED0">
              <w:rPr>
                <w:rStyle w:val="a2"/>
                <w:b/>
              </w:rPr>
              <w:t xml:space="preserve"> Commission </w:t>
            </w:r>
            <w:r w:rsidRPr="00A37ED0">
              <w:rPr>
                <w:rStyle w:val="a2"/>
                <w:b/>
                <w:i/>
              </w:rPr>
              <w:t>(e.g. title or serial number of Codex standard or related text)</w:t>
            </w:r>
          </w:p>
          <w:p w:rsidR="00E70AB9" w:rsidRPr="00A37ED0" w:rsidRDefault="00E70AB9" w:rsidP="00E70AB9">
            <w:pPr>
              <w:ind w:hanging="607"/>
            </w:pPr>
            <w:r w:rsidRPr="00A37ED0">
              <w:rPr>
                <w:rStyle w:val="a2"/>
                <w:b/>
              </w:rPr>
              <w:t>[ ]</w:t>
            </w:r>
            <w:r w:rsidRPr="00A37ED0">
              <w:rPr>
                <w:rStyle w:val="a2"/>
                <w:b/>
              </w:rPr>
              <w:tab/>
              <w:t xml:space="preserve">World Organisation for Animal Health (OIE) </w:t>
            </w:r>
            <w:r w:rsidRPr="00A37ED0">
              <w:rPr>
                <w:rStyle w:val="a2"/>
                <w:b/>
                <w:i/>
              </w:rPr>
              <w:t>(e.g. Terrestrial or Aquatic Animal Health Code, chapter number)</w:t>
            </w:r>
          </w:p>
          <w:p w:rsidR="00E70AB9" w:rsidRPr="00A37ED0" w:rsidRDefault="00E70AB9" w:rsidP="00E70AB9">
            <w:pPr>
              <w:ind w:hanging="607"/>
            </w:pPr>
            <w:r w:rsidRPr="00A37ED0">
              <w:rPr>
                <w:rStyle w:val="a2"/>
                <w:b/>
              </w:rPr>
              <w:t>[ ]</w:t>
            </w:r>
            <w:r w:rsidRPr="00A37ED0">
              <w:rPr>
                <w:rStyle w:val="a2"/>
                <w:b/>
              </w:rPr>
              <w:tab/>
              <w:t>International Plant Protection Convention (</w:t>
            </w:r>
            <w:r w:rsidRPr="00A37ED0">
              <w:rPr>
                <w:rStyle w:val="a2"/>
                <w:b/>
                <w:i/>
              </w:rPr>
              <w:t>e.g. ISPM No.</w:t>
            </w:r>
            <w:r w:rsidRPr="00A37ED0">
              <w:rPr>
                <w:rStyle w:val="a2"/>
                <w:b/>
              </w:rPr>
              <w:t>)</w:t>
            </w:r>
          </w:p>
          <w:p w:rsidR="00E70AB9" w:rsidRPr="00A37ED0" w:rsidRDefault="00E70AB9" w:rsidP="00E70AB9">
            <w:pPr>
              <w:ind w:hanging="607"/>
            </w:pPr>
            <w:r w:rsidRPr="00A37ED0">
              <w:rPr>
                <w:rStyle w:val="a2"/>
                <w:b/>
              </w:rPr>
              <w:t>[X]</w:t>
            </w:r>
            <w:r w:rsidRPr="00A37ED0">
              <w:rPr>
                <w:rStyle w:val="a2"/>
                <w:b/>
              </w:rPr>
              <w:tab/>
              <w:t>None</w:t>
            </w:r>
          </w:p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Does this proposed regulation conform to the relevant international standard?</w:t>
            </w:r>
          </w:p>
          <w:p w:rsidR="00E70AB9" w:rsidRPr="00A37ED0" w:rsidRDefault="00E70AB9" w:rsidP="00E70AB9">
            <w:pPr>
              <w:ind w:hanging="1"/>
              <w:rPr>
                <w:bCs/>
              </w:rPr>
            </w:pPr>
            <w:r w:rsidRPr="00A37ED0">
              <w:rPr>
                <w:rStyle w:val="a2"/>
                <w:b/>
              </w:rPr>
              <w:t>[ ] Yes [ ] No</w:t>
            </w:r>
          </w:p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If no, describe, whenever possible, how and why it deviates from the international standard:</w:t>
            </w:r>
            <w:r w:rsidRPr="00A37ED0">
              <w:rPr>
                <w:rStyle w:val="a2"/>
              </w:rPr>
              <w:t xml:space="preserve">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Other relevant documents and language(s) in which these are available:</w:t>
            </w:r>
          </w:p>
          <w:p w:rsidR="00E70AB9" w:rsidRPr="00A37ED0" w:rsidRDefault="00E70AB9" w:rsidP="00E70AB9">
            <w:pPr>
              <w:ind w:firstLine="1"/>
            </w:pPr>
            <w:proofErr w:type="spellStart"/>
            <w:r w:rsidRPr="00A37ED0">
              <w:rPr>
                <w:rStyle w:val="a2"/>
                <w:i/>
              </w:rPr>
              <w:t>Reglamento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sobre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Registro</w:t>
            </w:r>
            <w:proofErr w:type="spellEnd"/>
            <w:r w:rsidRPr="00A37ED0">
              <w:rPr>
                <w:rStyle w:val="a2"/>
                <w:i/>
              </w:rPr>
              <w:t xml:space="preserve">, </w:t>
            </w:r>
            <w:proofErr w:type="spellStart"/>
            <w:r w:rsidRPr="00A37ED0">
              <w:rPr>
                <w:rStyle w:val="a2"/>
                <w:i/>
              </w:rPr>
              <w:t>Uso</w:t>
            </w:r>
            <w:proofErr w:type="spellEnd"/>
            <w:r w:rsidRPr="00A37ED0">
              <w:rPr>
                <w:rStyle w:val="a2"/>
                <w:i/>
              </w:rPr>
              <w:t xml:space="preserve"> y Control de </w:t>
            </w:r>
            <w:proofErr w:type="spellStart"/>
            <w:r w:rsidRPr="00A37ED0">
              <w:rPr>
                <w:rStyle w:val="a2"/>
                <w:i/>
              </w:rPr>
              <w:t>Plaguicidas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Sintéticos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Formulados</w:t>
            </w:r>
            <w:proofErr w:type="spellEnd"/>
            <w:r w:rsidRPr="00A37ED0">
              <w:rPr>
                <w:rStyle w:val="a2"/>
                <w:i/>
              </w:rPr>
              <w:t xml:space="preserve">, </w:t>
            </w:r>
            <w:proofErr w:type="spellStart"/>
            <w:r w:rsidRPr="00A37ED0">
              <w:rPr>
                <w:rStyle w:val="a2"/>
                <w:i/>
              </w:rPr>
              <w:t>Ingrediente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Activo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Grado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Técnico</w:t>
            </w:r>
            <w:proofErr w:type="spellEnd"/>
            <w:r w:rsidRPr="00A37ED0">
              <w:rPr>
                <w:rStyle w:val="a2"/>
                <w:i/>
              </w:rPr>
              <w:t xml:space="preserve">, </w:t>
            </w:r>
            <w:proofErr w:type="spellStart"/>
            <w:r w:rsidRPr="00A37ED0">
              <w:rPr>
                <w:rStyle w:val="a2"/>
                <w:i/>
              </w:rPr>
              <w:t>Coadyuvantes</w:t>
            </w:r>
            <w:proofErr w:type="spellEnd"/>
            <w:r w:rsidRPr="00A37ED0">
              <w:rPr>
                <w:rStyle w:val="a2"/>
                <w:i/>
              </w:rPr>
              <w:t xml:space="preserve"> y </w:t>
            </w:r>
            <w:proofErr w:type="spellStart"/>
            <w:r w:rsidRPr="00A37ED0">
              <w:rPr>
                <w:rStyle w:val="a2"/>
                <w:i/>
              </w:rPr>
              <w:t>Sustancias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Afines</w:t>
            </w:r>
            <w:proofErr w:type="spellEnd"/>
            <w:r w:rsidRPr="00A37ED0">
              <w:rPr>
                <w:rStyle w:val="a2"/>
                <w:i/>
              </w:rPr>
              <w:t xml:space="preserve"> de </w:t>
            </w:r>
            <w:proofErr w:type="spellStart"/>
            <w:r w:rsidRPr="00A37ED0">
              <w:rPr>
                <w:rStyle w:val="a2"/>
                <w:i/>
              </w:rPr>
              <w:t>Uso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Agrícola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r w:rsidRPr="00A37ED0">
              <w:rPr>
                <w:rStyle w:val="a2"/>
              </w:rPr>
              <w:t>(Regulation governing the registration, use and control of synthetic formulated pesticides, technical grade active ingredients, co-</w:t>
            </w:r>
            <w:proofErr w:type="spellStart"/>
            <w:r w:rsidRPr="00A37ED0">
              <w:rPr>
                <w:rStyle w:val="a2"/>
              </w:rPr>
              <w:t>formulants</w:t>
            </w:r>
            <w:proofErr w:type="spellEnd"/>
            <w:r w:rsidRPr="00A37ED0">
              <w:rPr>
                <w:rStyle w:val="a2"/>
              </w:rPr>
              <w:t xml:space="preserve"> and related substances for agricultural use), 31 October 2006;</w:t>
            </w:r>
          </w:p>
          <w:p w:rsidR="00E70AB9" w:rsidRPr="00A37ED0" w:rsidRDefault="00E70AB9" w:rsidP="00E70AB9">
            <w:pPr>
              <w:ind w:firstLine="1"/>
            </w:pPr>
            <w:proofErr w:type="spellStart"/>
            <w:r w:rsidRPr="00A37ED0">
              <w:rPr>
                <w:rStyle w:val="a2"/>
                <w:i/>
              </w:rPr>
              <w:t>Decreto</w:t>
            </w:r>
            <w:proofErr w:type="spellEnd"/>
            <w:r w:rsidRPr="00A37ED0">
              <w:rPr>
                <w:rStyle w:val="a2"/>
                <w:i/>
              </w:rPr>
              <w:t xml:space="preserve"> </w:t>
            </w:r>
            <w:proofErr w:type="spellStart"/>
            <w:r w:rsidRPr="00A37ED0">
              <w:rPr>
                <w:rStyle w:val="a2"/>
                <w:i/>
              </w:rPr>
              <w:t>ejecutivo</w:t>
            </w:r>
            <w:proofErr w:type="spellEnd"/>
            <w:r w:rsidRPr="00A37ED0">
              <w:rPr>
                <w:rStyle w:val="a2"/>
                <w:i/>
              </w:rPr>
              <w:t xml:space="preserve"> N° 27351 del 14 de </w:t>
            </w:r>
            <w:proofErr w:type="spellStart"/>
            <w:r w:rsidRPr="00A37ED0">
              <w:rPr>
                <w:rStyle w:val="a2"/>
                <w:i/>
              </w:rPr>
              <w:t>octubre</w:t>
            </w:r>
            <w:proofErr w:type="spellEnd"/>
            <w:r w:rsidRPr="00A37ED0">
              <w:rPr>
                <w:rStyle w:val="a2"/>
                <w:i/>
              </w:rPr>
              <w:t xml:space="preserve"> de 1998, </w:t>
            </w:r>
            <w:proofErr w:type="spellStart"/>
            <w:r w:rsidRPr="00A37ED0">
              <w:rPr>
                <w:rStyle w:val="a2"/>
                <w:i/>
              </w:rPr>
              <w:t>Creación</w:t>
            </w:r>
            <w:proofErr w:type="spellEnd"/>
            <w:r w:rsidRPr="00A37ED0">
              <w:rPr>
                <w:rStyle w:val="a2"/>
                <w:i/>
              </w:rPr>
              <w:t xml:space="preserve"> de la </w:t>
            </w:r>
            <w:proofErr w:type="spellStart"/>
            <w:r w:rsidRPr="00A37ED0">
              <w:rPr>
                <w:rStyle w:val="a2"/>
                <w:i/>
              </w:rPr>
              <w:t>Comisión</w:t>
            </w:r>
            <w:proofErr w:type="spellEnd"/>
            <w:r w:rsidRPr="00A37ED0">
              <w:rPr>
                <w:rStyle w:val="a2"/>
                <w:i/>
              </w:rPr>
              <w:t xml:space="preserve"> Nacional de </w:t>
            </w:r>
            <w:proofErr w:type="spellStart"/>
            <w:r w:rsidRPr="00A37ED0">
              <w:rPr>
                <w:rStyle w:val="a2"/>
                <w:i/>
              </w:rPr>
              <w:t>Desregulación</w:t>
            </w:r>
            <w:proofErr w:type="spellEnd"/>
            <w:r w:rsidRPr="00A37ED0">
              <w:rPr>
                <w:rStyle w:val="a2"/>
              </w:rPr>
              <w:t xml:space="preserve"> (Executive Decree No. 27351 of 14 October 1998, Creation of the National Deregulation Commission) (available in Spanish)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Cs/>
              </w:rPr>
            </w:pPr>
            <w:r w:rsidRPr="00A37ED0">
              <w:rPr>
                <w:rStyle w:val="a2"/>
                <w:b/>
              </w:rPr>
              <w:t xml:space="preserve">Proposed date of adoption </w:t>
            </w:r>
            <w:r w:rsidRPr="00A37ED0">
              <w:rPr>
                <w:rStyle w:val="a2"/>
                <w:b/>
                <w:i/>
              </w:rPr>
              <w:t>(</w:t>
            </w:r>
            <w:proofErr w:type="spellStart"/>
            <w:r w:rsidRPr="00A37ED0">
              <w:rPr>
                <w:rStyle w:val="a2"/>
                <w:b/>
                <w:i/>
              </w:rPr>
              <w:t>dd</w:t>
            </w:r>
            <w:proofErr w:type="spellEnd"/>
            <w:r w:rsidRPr="00A37ED0">
              <w:rPr>
                <w:rStyle w:val="a2"/>
                <w:b/>
                <w:i/>
              </w:rPr>
              <w:t>/mm/</w:t>
            </w:r>
            <w:proofErr w:type="spellStart"/>
            <w:r w:rsidRPr="00A37ED0">
              <w:rPr>
                <w:rStyle w:val="a2"/>
                <w:b/>
                <w:i/>
              </w:rPr>
              <w:t>yy</w:t>
            </w:r>
            <w:proofErr w:type="spellEnd"/>
            <w:r w:rsidRPr="00A37ED0">
              <w:rPr>
                <w:rStyle w:val="a2"/>
                <w:b/>
                <w:i/>
              </w:rPr>
              <w:t>)</w:t>
            </w:r>
            <w:r w:rsidRPr="00A37ED0">
              <w:rPr>
                <w:rStyle w:val="a2"/>
                <w:b/>
              </w:rPr>
              <w:t xml:space="preserve">: </w:t>
            </w:r>
            <w:r w:rsidRPr="00A37ED0">
              <w:rPr>
                <w:rStyle w:val="a2"/>
              </w:rPr>
              <w:t>9 October 2008</w:t>
            </w:r>
          </w:p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Proposed date of publication </w:t>
            </w:r>
            <w:r w:rsidRPr="00A37ED0">
              <w:rPr>
                <w:rStyle w:val="a2"/>
                <w:b/>
                <w:i/>
              </w:rPr>
              <w:t>(</w:t>
            </w:r>
            <w:proofErr w:type="spellStart"/>
            <w:r w:rsidRPr="00A37ED0">
              <w:rPr>
                <w:rStyle w:val="a2"/>
                <w:b/>
                <w:i/>
              </w:rPr>
              <w:t>dd</w:t>
            </w:r>
            <w:proofErr w:type="spellEnd"/>
            <w:r w:rsidRPr="00A37ED0">
              <w:rPr>
                <w:rStyle w:val="a2"/>
                <w:b/>
                <w:i/>
              </w:rPr>
              <w:t>/mm/</w:t>
            </w:r>
            <w:proofErr w:type="spellStart"/>
            <w:r w:rsidRPr="00A37ED0">
              <w:rPr>
                <w:rStyle w:val="a2"/>
                <w:b/>
                <w:i/>
              </w:rPr>
              <w:t>yy</w:t>
            </w:r>
            <w:proofErr w:type="spellEnd"/>
            <w:r w:rsidRPr="00A37ED0">
              <w:rPr>
                <w:rStyle w:val="a2"/>
                <w:b/>
                <w:i/>
              </w:rPr>
              <w:t>)</w:t>
            </w:r>
            <w:r w:rsidRPr="00A37ED0">
              <w:rPr>
                <w:rStyle w:val="a2"/>
                <w:b/>
              </w:rPr>
              <w:t xml:space="preserve">: </w:t>
            </w:r>
            <w:r w:rsidRPr="00A37ED0">
              <w:rPr>
                <w:rStyle w:val="a2"/>
              </w:rPr>
              <w:t>9 October 2008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Cs/>
              </w:rPr>
            </w:pPr>
            <w:r w:rsidRPr="00A37ED0">
              <w:rPr>
                <w:rStyle w:val="a2"/>
                <w:b/>
              </w:rPr>
              <w:t xml:space="preserve">Proposed date of entry into force: [ ] Six months from date of publication, and/or </w:t>
            </w:r>
            <w:r w:rsidRPr="00A37ED0">
              <w:rPr>
                <w:rStyle w:val="a2"/>
                <w:b/>
                <w:i/>
              </w:rPr>
              <w:t>(</w:t>
            </w:r>
            <w:proofErr w:type="spellStart"/>
            <w:r w:rsidRPr="00A37ED0">
              <w:rPr>
                <w:rStyle w:val="a2"/>
                <w:b/>
                <w:i/>
              </w:rPr>
              <w:t>dd</w:t>
            </w:r>
            <w:proofErr w:type="spellEnd"/>
            <w:r w:rsidRPr="00A37ED0">
              <w:rPr>
                <w:rStyle w:val="a2"/>
                <w:b/>
                <w:i/>
              </w:rPr>
              <w:t>/mm/</w:t>
            </w:r>
            <w:proofErr w:type="spellStart"/>
            <w:r w:rsidRPr="00A37ED0">
              <w:rPr>
                <w:rStyle w:val="a2"/>
                <w:b/>
                <w:i/>
              </w:rPr>
              <w:t>yy</w:t>
            </w:r>
            <w:proofErr w:type="spellEnd"/>
            <w:r w:rsidRPr="00A37ED0">
              <w:rPr>
                <w:rStyle w:val="a2"/>
                <w:b/>
                <w:i/>
              </w:rPr>
              <w:t>)</w:t>
            </w:r>
            <w:r w:rsidRPr="00A37ED0">
              <w:rPr>
                <w:rStyle w:val="a2"/>
                <w:b/>
              </w:rPr>
              <w:t xml:space="preserve">: </w:t>
            </w:r>
            <w:r w:rsidRPr="00A37ED0">
              <w:rPr>
                <w:rStyle w:val="a2"/>
              </w:rPr>
              <w:t>9 October 2008</w:t>
            </w:r>
          </w:p>
          <w:p w:rsidR="00E70AB9" w:rsidRPr="00A37ED0" w:rsidRDefault="00E70AB9" w:rsidP="00E70AB9">
            <w:pPr>
              <w:ind w:hanging="607"/>
            </w:pPr>
            <w:r w:rsidRPr="00A37ED0">
              <w:rPr>
                <w:rStyle w:val="a2"/>
                <w:b/>
              </w:rPr>
              <w:t>[ ]</w:t>
            </w:r>
            <w:r w:rsidRPr="00A37ED0">
              <w:rPr>
                <w:rStyle w:val="a2"/>
                <w:b/>
              </w:rPr>
              <w:tab/>
              <w:t xml:space="preserve">Trade facilitating measure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lastRenderedPageBreak/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 xml:space="preserve">Final date for comments: [ ] Sixty days from the date of circulation of the notification and/or </w:t>
            </w:r>
            <w:r w:rsidRPr="00A37ED0">
              <w:rPr>
                <w:rStyle w:val="a2"/>
                <w:b/>
                <w:i/>
              </w:rPr>
              <w:t>(</w:t>
            </w:r>
            <w:proofErr w:type="spellStart"/>
            <w:r w:rsidRPr="00A37ED0">
              <w:rPr>
                <w:rStyle w:val="a2"/>
                <w:b/>
                <w:i/>
              </w:rPr>
              <w:t>dd</w:t>
            </w:r>
            <w:proofErr w:type="spellEnd"/>
            <w:r w:rsidRPr="00A37ED0">
              <w:rPr>
                <w:rStyle w:val="a2"/>
                <w:b/>
                <w:i/>
              </w:rPr>
              <w:t>/mm/</w:t>
            </w:r>
            <w:proofErr w:type="spellStart"/>
            <w:r w:rsidRPr="00A37ED0">
              <w:rPr>
                <w:rStyle w:val="a2"/>
                <w:b/>
                <w:i/>
              </w:rPr>
              <w:t>yy</w:t>
            </w:r>
            <w:proofErr w:type="spellEnd"/>
            <w:r w:rsidRPr="00A37ED0">
              <w:rPr>
                <w:rStyle w:val="a2"/>
                <w:b/>
                <w:i/>
              </w:rPr>
              <w:t>)</w:t>
            </w:r>
            <w:r w:rsidRPr="00A37ED0">
              <w:rPr>
                <w:rStyle w:val="a2"/>
                <w:b/>
              </w:rPr>
              <w:t xml:space="preserve">: </w:t>
            </w:r>
            <w:r w:rsidRPr="00A37ED0">
              <w:rPr>
                <w:rStyle w:val="a2"/>
              </w:rPr>
              <w:t>Not applicable.</w:t>
            </w:r>
          </w:p>
          <w:p w:rsidR="00E70AB9" w:rsidRPr="00A37ED0" w:rsidRDefault="00E70AB9" w:rsidP="00E70AB9">
            <w:pPr>
              <w:keepNext/>
            </w:pPr>
            <w:r w:rsidRPr="00A37ED0">
              <w:rPr>
                <w:rStyle w:val="a2"/>
                <w:b/>
              </w:rPr>
              <w:t>Agency or authority designated to handle comments: [X] National Notification Authority, [ ] National Enquiry Point. Address, fax number and email address (if available) of other body:</w:t>
            </w:r>
            <w:r w:rsidRPr="00A37ED0">
              <w:rPr>
                <w:rStyle w:val="a2"/>
              </w:rPr>
              <w:t xml:space="preserve"> </w:t>
            </w:r>
          </w:p>
        </w:tc>
      </w:tr>
      <w:tr w:rsidR="00E70AB9" w:rsidRPr="00A37ED0" w:rsidTr="00194A1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r w:rsidRPr="00A37ED0">
              <w:rPr>
                <w:rStyle w:val="a2"/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0AB9" w:rsidRPr="00A37ED0" w:rsidRDefault="00E70AB9" w:rsidP="00E70AB9">
            <w:pPr>
              <w:rPr>
                <w:b/>
              </w:rPr>
            </w:pPr>
            <w:r w:rsidRPr="00A37ED0">
              <w:rPr>
                <w:rStyle w:val="a2"/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:rsidR="00E70AB9" w:rsidRPr="00A37ED0" w:rsidRDefault="00E70AB9" w:rsidP="00E70AB9">
            <w:proofErr w:type="spellStart"/>
            <w:r w:rsidRPr="00A37ED0">
              <w:rPr>
                <w:rStyle w:val="a2"/>
              </w:rPr>
              <w:t>Ministerio</w:t>
            </w:r>
            <w:proofErr w:type="spellEnd"/>
            <w:r w:rsidRPr="00A37ED0">
              <w:rPr>
                <w:rStyle w:val="a2"/>
              </w:rPr>
              <w:t xml:space="preserve"> de </w:t>
            </w:r>
            <w:proofErr w:type="spellStart"/>
            <w:r w:rsidRPr="00A37ED0">
              <w:rPr>
                <w:rStyle w:val="a2"/>
              </w:rPr>
              <w:t>Agricultura</w:t>
            </w:r>
            <w:proofErr w:type="spellEnd"/>
            <w:r w:rsidRPr="00A37ED0">
              <w:rPr>
                <w:rStyle w:val="a2"/>
              </w:rPr>
              <w:t xml:space="preserve"> y </w:t>
            </w:r>
            <w:proofErr w:type="spellStart"/>
            <w:r w:rsidRPr="00A37ED0">
              <w:rPr>
                <w:rStyle w:val="a2"/>
              </w:rPr>
              <w:t>Ganadería</w:t>
            </w:r>
            <w:proofErr w:type="spellEnd"/>
          </w:p>
          <w:p w:rsidR="00E70AB9" w:rsidRPr="00A37ED0" w:rsidRDefault="00E70AB9" w:rsidP="00E70AB9">
            <w:proofErr w:type="spellStart"/>
            <w:r w:rsidRPr="00A37ED0">
              <w:rPr>
                <w:rStyle w:val="a2"/>
              </w:rPr>
              <w:t>Servicio</w:t>
            </w:r>
            <w:proofErr w:type="spellEnd"/>
            <w:r w:rsidRPr="00A37ED0">
              <w:rPr>
                <w:rStyle w:val="a2"/>
              </w:rPr>
              <w:t xml:space="preserve"> </w:t>
            </w:r>
            <w:proofErr w:type="spellStart"/>
            <w:r w:rsidRPr="00A37ED0">
              <w:rPr>
                <w:rStyle w:val="a2"/>
              </w:rPr>
              <w:t>Fitosanitario</w:t>
            </w:r>
            <w:proofErr w:type="spellEnd"/>
            <w:r w:rsidRPr="00A37ED0">
              <w:rPr>
                <w:rStyle w:val="a2"/>
              </w:rPr>
              <w:t xml:space="preserve"> del Estado (SFE)</w:t>
            </w:r>
          </w:p>
          <w:p w:rsidR="00E70AB9" w:rsidRPr="00A37ED0" w:rsidRDefault="00E70AB9" w:rsidP="00E70AB9">
            <w:r w:rsidRPr="00A37ED0">
              <w:rPr>
                <w:rStyle w:val="a2"/>
              </w:rPr>
              <w:t xml:space="preserve">Centro de </w:t>
            </w:r>
            <w:proofErr w:type="spellStart"/>
            <w:r w:rsidRPr="00A37ED0">
              <w:rPr>
                <w:rStyle w:val="a2"/>
              </w:rPr>
              <w:t>Información</w:t>
            </w:r>
            <w:proofErr w:type="spellEnd"/>
            <w:r w:rsidRPr="00A37ED0">
              <w:rPr>
                <w:rStyle w:val="a2"/>
              </w:rPr>
              <w:t xml:space="preserve"> y </w:t>
            </w:r>
            <w:proofErr w:type="spellStart"/>
            <w:r w:rsidRPr="00A37ED0">
              <w:rPr>
                <w:rStyle w:val="a2"/>
              </w:rPr>
              <w:t>Notificación</w:t>
            </w:r>
            <w:proofErr w:type="spellEnd"/>
            <w:r w:rsidRPr="00A37ED0">
              <w:rPr>
                <w:rStyle w:val="a2"/>
              </w:rPr>
              <w:t xml:space="preserve"> MSF</w:t>
            </w:r>
          </w:p>
          <w:p w:rsidR="00E70AB9" w:rsidRPr="00A37ED0" w:rsidRDefault="00E70AB9" w:rsidP="00E70AB9">
            <w:proofErr w:type="spellStart"/>
            <w:r w:rsidRPr="00A37ED0">
              <w:rPr>
                <w:rStyle w:val="a2"/>
              </w:rPr>
              <w:t>Apartado</w:t>
            </w:r>
            <w:proofErr w:type="spellEnd"/>
            <w:r w:rsidRPr="00A37ED0">
              <w:rPr>
                <w:rStyle w:val="a2"/>
              </w:rPr>
              <w:t xml:space="preserve"> Postal 1521 </w:t>
            </w:r>
            <w:r>
              <w:rPr>
                <w:rStyle w:val="a2"/>
              </w:rPr>
              <w:t>–</w:t>
            </w:r>
            <w:r w:rsidRPr="00A37ED0">
              <w:rPr>
                <w:rStyle w:val="a2"/>
              </w:rPr>
              <w:t xml:space="preserve"> 1200</w:t>
            </w:r>
          </w:p>
          <w:p w:rsidR="00E70AB9" w:rsidRPr="00A37ED0" w:rsidRDefault="00E70AB9" w:rsidP="00E70AB9">
            <w:r w:rsidRPr="00A37ED0">
              <w:rPr>
                <w:rStyle w:val="a2"/>
              </w:rPr>
              <w:t>San José, Costa Rica</w:t>
            </w:r>
          </w:p>
          <w:p w:rsidR="00E70AB9" w:rsidRPr="00A37ED0" w:rsidRDefault="00E70AB9" w:rsidP="00E70AB9">
            <w:r w:rsidRPr="00A37ED0">
              <w:rPr>
                <w:rStyle w:val="a2"/>
              </w:rPr>
              <w:t>Tel.: (+506) 2549 3454</w:t>
            </w:r>
          </w:p>
          <w:p w:rsidR="00E70AB9" w:rsidRPr="00A37ED0" w:rsidRDefault="00E70AB9" w:rsidP="00E70AB9">
            <w:r w:rsidRPr="00A37ED0">
              <w:rPr>
                <w:rStyle w:val="a2"/>
              </w:rPr>
              <w:t>Fax: (+506) 2549 3598</w:t>
            </w:r>
          </w:p>
          <w:p w:rsidR="00E70AB9" w:rsidRPr="00A37ED0" w:rsidRDefault="00E70AB9" w:rsidP="00E70AB9">
            <w:r w:rsidRPr="00A37ED0">
              <w:rPr>
                <w:rStyle w:val="a2"/>
              </w:rPr>
              <w:t>Email: puntocontactoMSF@sfe.go.cr</w:t>
            </w:r>
          </w:p>
        </w:tc>
      </w:tr>
    </w:tbl>
    <w:p w:rsidR="00E70AB9" w:rsidRPr="00A37ED0" w:rsidRDefault="00E70AB9" w:rsidP="00E70AB9"/>
    <w:p w:rsidR="00E70AB9" w:rsidRDefault="00E70AB9" w:rsidP="00E70AB9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E70AB9" w:rsidRPr="00E70AB9" w:rsidTr="00194A1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E70AB9" w:rsidRPr="00E70AB9" w:rsidTr="00194A1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70AB9" w:rsidRPr="00E70AB9" w:rsidRDefault="00E70AB9" w:rsidP="00E70AB9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E70AB9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70AB9" w:rsidRPr="00E70AB9" w:rsidRDefault="00E70AB9" w:rsidP="00E70AB9">
                  <w:pPr>
                    <w:widowControl w:val="0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G/SPS/N/CRI/155</w:t>
                  </w:r>
                </w:p>
                <w:p w:rsidR="00E70AB9" w:rsidRPr="00E70AB9" w:rsidRDefault="00E70AB9" w:rsidP="00E70AB9">
                  <w:pPr>
                    <w:widowControl w:val="0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E70AB9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2015-03-27</w:t>
                  </w:r>
                </w:p>
                <w:p w:rsidR="00E70AB9" w:rsidRPr="00E70AB9" w:rsidRDefault="00E70AB9" w:rsidP="00E70AB9">
                  <w:pPr>
                    <w:widowControl w:val="0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E70AB9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15-1727</w:t>
                  </w:r>
                  <w:r w:rsidRPr="00E70AB9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160" w:type="dxa"/>
                </w:tcPr>
                <w:p w:rsidR="00E70AB9" w:rsidRPr="00E70AB9" w:rsidRDefault="00E70AB9" w:rsidP="00E70AB9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E70AB9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70AB9" w:rsidRPr="00E70AB9" w:rsidRDefault="00E70AB9" w:rsidP="00E70AB9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E70AB9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西班牙文</w:t>
                  </w:r>
                </w:p>
              </w:tc>
            </w:tr>
          </w:tbl>
          <w:p w:rsidR="00E70AB9" w:rsidRPr="00E70AB9" w:rsidRDefault="00E70AB9" w:rsidP="00E70AB9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E70AB9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E70AB9" w:rsidRPr="00E70AB9" w:rsidRDefault="00E70AB9" w:rsidP="00E70AB9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</w:pPr>
            <w:r w:rsidRPr="00E70AB9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E70AB9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E70AB9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E70AB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哥斯达黎加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农畜</w:t>
                  </w:r>
                  <w:proofErr w:type="gramStart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部国家</w:t>
                  </w:r>
                  <w:proofErr w:type="gramEnd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植物卫生局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(SFE)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含农业</w:t>
                  </w:r>
                  <w:proofErr w:type="gramEnd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杀虫剂硫丹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endosulfan</w:t>
                  </w:r>
                  <w:proofErr w:type="spellEnd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的原料或制剂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关于</w:t>
                  </w:r>
                  <w:proofErr w:type="gramStart"/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含农业</w:t>
                  </w:r>
                  <w:proofErr w:type="gramEnd"/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杀虫剂硫丹</w:t>
                  </w: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proofErr w:type="spellStart"/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endosulfan</w:t>
                  </w:r>
                  <w:proofErr w:type="spellEnd"/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</w:t>
                  </w: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的原料或制剂的使用和控制法规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西班牙文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</w:pP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</w:t>
                  </w: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bookmarkStart w:id="0" w:name="sps5d"/>
                  <w:r w:rsidRPr="00E70AB9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http://members.wto.org/crnattachments/2015/SPS/CRI/15_1366_00_s.pdf</w:t>
                  </w:r>
                  <w:bookmarkEnd w:id="0"/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本通报文监管</w:t>
                  </w:r>
                  <w:proofErr w:type="gramStart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含农业</w:t>
                  </w:r>
                  <w:proofErr w:type="gramEnd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杀虫剂硫丹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endosulfan</w:t>
                  </w:r>
                  <w:proofErr w:type="spellEnd"/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的原料或配制品的使用、销售、处理、配制及再包装。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E70AB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E70AB9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E70AB9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ind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注册、使用和控制农业用合成配制杀虫剂、工业级活性成分、助剂及相关物质的管理法规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,2006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31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;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cr/>
                    <w:t xml:space="preserve">
1998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14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日第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27351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号执行令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,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创建国家解除管制委员会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提供西班牙文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cr/>
                    <w:t xml:space="preserve">
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70AB9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2008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9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bookmarkStart w:id="1" w:name="_GoBack"/>
                  <w:bookmarkEnd w:id="1"/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拟公布日期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70AB9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2008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9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2008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9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E70AB9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E70AB9" w:rsidRPr="00E70AB9" w:rsidRDefault="00E70AB9" w:rsidP="00E70AB9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E70AB9" w:rsidRPr="00E70AB9" w:rsidTr="00194A10">
              <w:trPr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E70AB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不适用</w:t>
                  </w:r>
                </w:p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</w:p>
              </w:tc>
            </w:tr>
            <w:tr w:rsidR="00E70AB9" w:rsidRPr="00E70AB9" w:rsidTr="00194A1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70AB9" w:rsidRPr="00E70AB9" w:rsidRDefault="00E70AB9" w:rsidP="00E70AB9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70AB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70AB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E70AB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E70AB9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MinisteriodeAgriculturayGanaderíaServicioFitosanitariodelEstado(SFE)CentrodeInformaciónyNotificaciónMSFApartadoPostal1521-1200SanJosé,CostaRicaTel.:+(506)25493454Fax:+(506)25493598Email:puntocontactoMSF@sfe.go.cr</w:t>
                  </w:r>
                  <w:r w:rsidRPr="00E70AB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E70AB9" w:rsidRPr="00E70AB9" w:rsidRDefault="00E70AB9" w:rsidP="00E70AB9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E70AB9" w:rsidRPr="00E70AB9" w:rsidTr="00194A10">
        <w:trPr>
          <w:jc w:val="center"/>
        </w:trPr>
        <w:tc>
          <w:tcPr>
            <w:tcW w:w="9032" w:type="dxa"/>
            <w:vAlign w:val="center"/>
          </w:tcPr>
          <w:p w:rsidR="00E70AB9" w:rsidRPr="00E70AB9" w:rsidRDefault="00E70AB9" w:rsidP="00E70AB9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A16CCD" w:rsidRPr="00E70AB9" w:rsidRDefault="00A16CCD" w:rsidP="00E70AB9">
      <w:pPr>
        <w:rPr>
          <w:lang w:eastAsia="zh-CN"/>
        </w:rPr>
      </w:pPr>
    </w:p>
    <w:sectPr w:rsidR="00A16CCD" w:rsidRPr="00E70AB9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39" w:rsidRDefault="008A3039" w:rsidP="00A16CCD">
      <w:r>
        <w:separator/>
      </w:r>
    </w:p>
  </w:endnote>
  <w:endnote w:type="continuationSeparator" w:id="0">
    <w:p w:rsidR="008A3039" w:rsidRDefault="008A303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39" w:rsidRDefault="008A3039" w:rsidP="00A16CCD">
      <w:r>
        <w:separator/>
      </w:r>
    </w:p>
  </w:footnote>
  <w:footnote w:type="continuationSeparator" w:id="0">
    <w:p w:rsidR="008A3039" w:rsidRDefault="008A303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303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0AB9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mbers.wto.org/crnattachments/2015/SPS/CRI/15_1366_00_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LinksUpToDate>false</LinksUpToDate>
  <CharactersWithSpaces>5332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