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EF0B39" w:rsidRPr="00EA4725" w:rsidTr="00E0183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F0B39" w:rsidRPr="00EA4725" w:rsidRDefault="00EF0B39" w:rsidP="00E0183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F0B39" w:rsidRPr="00EA4725" w:rsidRDefault="00EF0B39" w:rsidP="00E0183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F0B39" w:rsidRPr="00EA4725" w:rsidTr="00E0183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F0B39" w:rsidRPr="00EA4725" w:rsidRDefault="00EF0B39" w:rsidP="00E01837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F0B39" w:rsidRPr="00EA4725" w:rsidRDefault="00EF0B39" w:rsidP="00E01837">
            <w:pPr>
              <w:jc w:val="right"/>
              <w:rPr>
                <w:b/>
                <w:szCs w:val="16"/>
              </w:rPr>
            </w:pPr>
          </w:p>
        </w:tc>
      </w:tr>
      <w:tr w:rsidR="00EF0B39" w:rsidRPr="00EA4725" w:rsidTr="00E0183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F0B39" w:rsidRPr="00EA4725" w:rsidRDefault="00EF0B39" w:rsidP="00E0183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F0B39" w:rsidRDefault="00EF0B39" w:rsidP="00E0183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G/SPS/N/USA/2715</w:t>
            </w:r>
          </w:p>
          <w:bookmarkEnd w:id="1"/>
          <w:p w:rsidR="00EF0B39" w:rsidRPr="00EA4725" w:rsidRDefault="00EF0B39" w:rsidP="00E01837">
            <w:pPr>
              <w:jc w:val="right"/>
              <w:rPr>
                <w:b/>
                <w:szCs w:val="16"/>
              </w:rPr>
            </w:pPr>
          </w:p>
        </w:tc>
      </w:tr>
      <w:tr w:rsidR="00EF0B39" w:rsidRPr="00EA4725" w:rsidTr="00E0183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F0B39" w:rsidRPr="00EA4725" w:rsidRDefault="00EF0B39" w:rsidP="00E0183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F0B39" w:rsidRPr="00EA4725" w:rsidRDefault="00EF0B39" w:rsidP="00E01837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10 November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EF0B39" w:rsidRPr="00EA4725" w:rsidTr="00E0183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F0B39" w:rsidRPr="00EA4725" w:rsidRDefault="00EF0B39" w:rsidP="00E01837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14-6573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F0B39" w:rsidRPr="00EA4725" w:rsidRDefault="00EF0B39" w:rsidP="00E01837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EF0B39" w:rsidRPr="00EA4725" w:rsidTr="00E0183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F0B39" w:rsidRPr="00EA4725" w:rsidRDefault="00EF0B39" w:rsidP="00E01837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F0B39" w:rsidRPr="00EA4725" w:rsidRDefault="00EF0B39" w:rsidP="00E01837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F0B39" w:rsidRPr="00656ABC" w:rsidRDefault="00EF0B39" w:rsidP="00EF0B39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F0B39" w:rsidRPr="00656ABC" w:rsidRDefault="00EF0B39" w:rsidP="00E01837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All food commodities.</w:t>
            </w:r>
            <w:bookmarkEnd w:id="11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 w:rsidRPr="00656ABC">
              <w:rPr>
                <w:bCs/>
              </w:rPr>
              <w:t>Prallethrin</w:t>
            </w:r>
            <w:proofErr w:type="spellEnd"/>
            <w:r w:rsidRPr="00656ABC">
              <w:rPr>
                <w:bCs/>
              </w:rPr>
              <w:t>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 xml:space="preserve"> </w:t>
            </w:r>
            <w:bookmarkEnd w:id="18"/>
          </w:p>
          <w:bookmarkStart w:id="19" w:name="sps5d"/>
          <w:p w:rsidR="00EF0B39" w:rsidRPr="00656ABC" w:rsidRDefault="00EF0B39" w:rsidP="00E01837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"http://www.gpo.gov/fdsys/pkg/FR-2014-10-29/html/2014-25732.htm" </w:instrText>
            </w:r>
            <w:r>
              <w:fldChar w:fldCharType="separate"/>
            </w:r>
            <w:r w:rsidRPr="00676571">
              <w:rPr>
                <w:rStyle w:val="af3"/>
              </w:rPr>
              <w:t>http://www.gpo.gov/fdsys/pkg/FR-2014-10-29/html/2014-2573</w:t>
            </w:r>
            <w:r w:rsidRPr="00676571">
              <w:rPr>
                <w:rStyle w:val="af3"/>
              </w:rPr>
              <w:t>2</w:t>
            </w:r>
            <w:r w:rsidRPr="00676571">
              <w:rPr>
                <w:rStyle w:val="af3"/>
              </w:rPr>
              <w:t>.htm</w:t>
            </w:r>
            <w:bookmarkEnd w:id="19"/>
            <w:r>
              <w:fldChar w:fldCharType="end"/>
            </w:r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This regulation establishes tolerances for residues of the insecticide </w:t>
            </w:r>
            <w:proofErr w:type="spellStart"/>
            <w:r w:rsidRPr="00656ABC">
              <w:t>prallethrin</w:t>
            </w:r>
            <w:proofErr w:type="spellEnd"/>
            <w:r w:rsidRPr="00656ABC">
              <w:t xml:space="preserve">, including its metabolites and </w:t>
            </w:r>
            <w:proofErr w:type="spellStart"/>
            <w:r w:rsidRPr="00656ABC">
              <w:t>degradates</w:t>
            </w:r>
            <w:proofErr w:type="spellEnd"/>
            <w:r w:rsidRPr="00656ABC">
              <w:t xml:space="preserve">, in or on all food commodities from use of </w:t>
            </w:r>
            <w:proofErr w:type="spellStart"/>
            <w:r w:rsidRPr="00656ABC">
              <w:t>prallethrin</w:t>
            </w:r>
            <w:proofErr w:type="spellEnd"/>
            <w:r w:rsidRPr="00656ABC">
              <w:t xml:space="preserve"> in food handling establishments where food and food products are held, processed, prepared and/or served, or as a wide-area mosquito </w:t>
            </w:r>
            <w:proofErr w:type="spellStart"/>
            <w:r w:rsidRPr="00656ABC">
              <w:t>adulticide</w:t>
            </w:r>
            <w:proofErr w:type="spellEnd"/>
            <w:r w:rsidRPr="00656ABC">
              <w:t xml:space="preserve"> at 1.0 part per million (ppm).</w:t>
            </w:r>
            <w:bookmarkEnd w:id="20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EF0B39" w:rsidRPr="00656ABC" w:rsidRDefault="00EF0B39" w:rsidP="00E01837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F0B39" w:rsidRPr="00656ABC" w:rsidRDefault="00EF0B39" w:rsidP="00E01837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F0B39" w:rsidRPr="00656ABC" w:rsidRDefault="00EF0B39" w:rsidP="00E01837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EF0B39" w:rsidRPr="00656ABC" w:rsidRDefault="00EF0B39" w:rsidP="00E01837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</w:t>
            </w:r>
            <w:r w:rsidRPr="00656ABC">
              <w:rPr>
                <w:b/>
              </w:rPr>
              <w:lastRenderedPageBreak/>
              <w:t xml:space="preserve">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29 October 2014</w:t>
            </w:r>
            <w:bookmarkEnd w:id="39"/>
          </w:p>
          <w:p w:rsidR="00EF0B39" w:rsidRPr="00656ABC" w:rsidRDefault="00EF0B39" w:rsidP="00E01837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29 October 2014</w:t>
            </w:r>
            <w:bookmarkEnd w:id="40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29 October 2014</w:t>
            </w:r>
            <w:bookmarkEnd w:id="42"/>
          </w:p>
          <w:p w:rsidR="00EF0B39" w:rsidRPr="00656ABC" w:rsidRDefault="00EF0B39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</w:p>
          <w:p w:rsidR="00EF0B39" w:rsidRPr="00656ABC" w:rsidRDefault="00EF0B39" w:rsidP="00E01837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rPr>
                <w:b/>
              </w:rPr>
              <w:t xml:space="preserve"> </w:t>
            </w:r>
            <w:r w:rsidRPr="00656ABC">
              <w:t>Daniel J. Rosenblatt, Registration Division (RD) (7505P)</w:t>
            </w:r>
            <w:r>
              <w:t xml:space="preserve">, Office of Pesticide Programs, </w:t>
            </w:r>
            <w:r w:rsidRPr="00656ABC">
              <w:t>Environmental Protection Agency, 1200 Pennsylvania Ave.</w:t>
            </w:r>
            <w:r>
              <w:t> </w:t>
            </w:r>
            <w:r w:rsidRPr="00656ABC">
              <w:t>NW.,</w:t>
            </w:r>
            <w:r>
              <w:t xml:space="preserve"> </w:t>
            </w:r>
            <w:r w:rsidRPr="00656ABC">
              <w:t>Washington, DC 20460-0001</w:t>
            </w:r>
            <w:r>
              <w:t xml:space="preserve">; </w:t>
            </w:r>
            <w:r w:rsidRPr="00656ABC">
              <w:t>Tel: +(1 703) 305 7090</w:t>
            </w:r>
            <w:r>
              <w:t xml:space="preserve">; </w:t>
            </w:r>
            <w:r w:rsidRPr="00656ABC">
              <w:t>E-mail: RDFRNotices@epa.gov</w:t>
            </w:r>
            <w:bookmarkEnd w:id="49"/>
            <w:r>
              <w:t>.</w:t>
            </w:r>
          </w:p>
        </w:tc>
      </w:tr>
      <w:tr w:rsidR="00EF0B39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F0B39" w:rsidRPr="00656ABC" w:rsidRDefault="00EF0B39" w:rsidP="00E01837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us.spsenquirypoint@fas.usda.gov.</w:t>
            </w:r>
            <w:bookmarkEnd w:id="52"/>
          </w:p>
        </w:tc>
      </w:tr>
    </w:tbl>
    <w:p w:rsidR="00EF0B39" w:rsidRPr="00656ABC" w:rsidRDefault="00EF0B39" w:rsidP="00EF0B39"/>
    <w:p w:rsidR="00EF0B39" w:rsidRDefault="00EF0B39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EF0B39" w:rsidTr="00E0183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EF0B39" w:rsidTr="00E0183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F0B39" w:rsidRDefault="00EF0B39" w:rsidP="00E0183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EF0B39" w:rsidRDefault="00EF0B39" w:rsidP="00E0183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G/SPS/N/USA/2715</w:t>
                  </w:r>
                </w:p>
                <w:p w:rsidR="00EF0B39" w:rsidRDefault="00EF0B39" w:rsidP="00E0183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2014-11-10</w:t>
                  </w:r>
                </w:p>
                <w:p w:rsidR="00EF0B39" w:rsidRDefault="00EF0B39" w:rsidP="00E0183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14-6573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160" w:type="dxa"/>
                </w:tcPr>
                <w:p w:rsidR="00EF0B39" w:rsidRDefault="00EF0B39" w:rsidP="00E0183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F0B39" w:rsidRDefault="00EF0B39" w:rsidP="00E0183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EF0B39" w:rsidRDefault="00EF0B39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EF0B39" w:rsidRDefault="00EF0B39" w:rsidP="00E0183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EF0B39" w:rsidRDefault="00EF0B39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EF0B39" w:rsidRDefault="00EF0B39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EF0B39" w:rsidRDefault="00EF0B39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EF0B39" w:rsidRDefault="00EF0B39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所有食品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EF0B39" w:rsidRP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EF0B39" w:rsidRPr="00EF0B39" w:rsidRDefault="00EF0B39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炔丙菊酯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Prallethrin</w:t>
                  </w:r>
                  <w:proofErr w:type="spellEnd"/>
                  <w:r>
                    <w:rPr>
                      <w:rFonts w:hAnsi="Times New Roman"/>
                    </w:rPr>
                    <w:t>);</w:t>
                  </w: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杀虫剂许可限量英文</w:t>
                  </w:r>
                  <w:proofErr w:type="spellEnd"/>
                </w:p>
                <w:p w:rsidR="00EF0B39" w:rsidRDefault="00EF0B39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http://www.gpo.gov/fdsys/pkg/FR-2014-10-29/html/2014-25732.htm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本法规对使用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炔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丙菊酯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Prallethrin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保存、加工、预制及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或供应食物及食品的食品处理企业或作为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百万分之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.0(ppm)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大面积灭蚊剂，规定了所有食品内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表其残留（包括其代谢物和降解物）的限量。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EF0B39" w:rsidRP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F0B39" w:rsidRP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F0B39" w:rsidRP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EF0B39" w:rsidRPr="00EF0B39" w:rsidRDefault="00EF0B39" w:rsidP="00EF0B3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bookmarkStart w:id="53" w:name="_GoBack"/>
                  <w:bookmarkEnd w:id="53"/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EF0B39" w:rsidRDefault="00EF0B39" w:rsidP="00E01837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EF0B39" w:rsidRDefault="00EF0B39" w:rsidP="00E0183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EF0B39" w:rsidRDefault="00EF0B39" w:rsidP="00E0183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EF0B39" w:rsidTr="00E01837">
              <w:trPr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EF0B39" w:rsidRDefault="00EF0B39" w:rsidP="00E0183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DanielJ.Rosenblatt,RegistrationDivision(RD)(7505P),OfficeofPesticidePrograms,EnvironmentalProtectionAgency,1200PennsylvaniaAve.NW.,Washington,DC20460-0001;Tel:+(1703)3057090;E-mail:RDFRNotices@epa.gov.</w:t>
                  </w:r>
                </w:p>
              </w:tc>
            </w:tr>
            <w:tr w:rsidR="00EF0B39" w:rsidTr="00E0183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F0B39" w:rsidRDefault="00EF0B39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F0B39" w:rsidRDefault="00EF0B39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EF0B39" w:rsidRDefault="00EF0B39" w:rsidP="00E01837">
            <w:pPr>
              <w:rPr>
                <w:lang w:eastAsia="zh-CN"/>
              </w:rPr>
            </w:pPr>
          </w:p>
        </w:tc>
      </w:tr>
    </w:tbl>
    <w:p w:rsidR="00A16CCD" w:rsidRPr="00EF0B39" w:rsidRDefault="00A16CCD" w:rsidP="00EF0B39">
      <w:pPr>
        <w:rPr>
          <w:lang w:eastAsia="zh-CN"/>
        </w:rPr>
      </w:pPr>
    </w:p>
    <w:sectPr w:rsidR="00A16CCD" w:rsidRPr="00EF0B39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D5" w:rsidRDefault="00207DD5" w:rsidP="00A16CCD">
      <w:r>
        <w:separator/>
      </w:r>
    </w:p>
  </w:endnote>
  <w:endnote w:type="continuationSeparator" w:id="0">
    <w:p w:rsidR="00207DD5" w:rsidRDefault="00207DD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D5" w:rsidRDefault="00207DD5" w:rsidP="00A16CCD">
      <w:r>
        <w:separator/>
      </w:r>
    </w:p>
  </w:footnote>
  <w:footnote w:type="continuationSeparator" w:id="0">
    <w:p w:rsidR="00207DD5" w:rsidRDefault="00207DD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5D8A"/>
    <w:rsid w:val="0018669C"/>
    <w:rsid w:val="001B2FED"/>
    <w:rsid w:val="001B6EFB"/>
    <w:rsid w:val="001F0E08"/>
    <w:rsid w:val="001F4016"/>
    <w:rsid w:val="00207DD5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8025F"/>
    <w:rsid w:val="004E5FF0"/>
    <w:rsid w:val="00515949"/>
    <w:rsid w:val="00555197"/>
    <w:rsid w:val="005624E9"/>
    <w:rsid w:val="00574AF1"/>
    <w:rsid w:val="006075C5"/>
    <w:rsid w:val="00633A6F"/>
    <w:rsid w:val="006457AB"/>
    <w:rsid w:val="00664355"/>
    <w:rsid w:val="00672B74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D519F"/>
    <w:rsid w:val="00DE37DC"/>
    <w:rsid w:val="00E80EB2"/>
    <w:rsid w:val="00E94C38"/>
    <w:rsid w:val="00E95CFC"/>
    <w:rsid w:val="00EA4725"/>
    <w:rsid w:val="00EF0B39"/>
    <w:rsid w:val="00F0080D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LinksUpToDate>false</LinksUpToDate>
  <CharactersWithSpaces>5047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2014-11-19T11:46:00Z</dcterms:created>
  <dcterms:modified xsi:type="dcterms:W3CDTF">2014-11-20T02:58:00Z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