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A448A2" w:rsidRPr="00EA4725" w:rsidTr="00B76AB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448A2" w:rsidRPr="00EA4725" w:rsidRDefault="00A448A2" w:rsidP="00B76AB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448A2" w:rsidRPr="00EA4725" w:rsidRDefault="00A448A2" w:rsidP="00B76AB6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448A2" w:rsidRPr="00EA4725" w:rsidTr="00B76AB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448A2" w:rsidRPr="00EA4725" w:rsidRDefault="00A448A2" w:rsidP="00B76AB6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448A2" w:rsidRPr="00EA4725" w:rsidRDefault="00A448A2" w:rsidP="00B76AB6">
            <w:pPr>
              <w:jc w:val="right"/>
              <w:rPr>
                <w:b/>
                <w:szCs w:val="16"/>
              </w:rPr>
            </w:pPr>
          </w:p>
        </w:tc>
      </w:tr>
      <w:tr w:rsidR="00A448A2" w:rsidRPr="00EA4725" w:rsidTr="00B76AB6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A448A2" w:rsidRPr="00EA4725" w:rsidRDefault="00A448A2" w:rsidP="00B76AB6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448A2" w:rsidRDefault="00A448A2" w:rsidP="00B76AB6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G/SPS/N/BRA/989</w:t>
            </w:r>
          </w:p>
          <w:bookmarkEnd w:id="1"/>
          <w:p w:rsidR="00A448A2" w:rsidRPr="00EA4725" w:rsidRDefault="00A448A2" w:rsidP="00B76AB6">
            <w:pPr>
              <w:jc w:val="right"/>
              <w:rPr>
                <w:b/>
                <w:szCs w:val="16"/>
              </w:rPr>
            </w:pPr>
          </w:p>
        </w:tc>
      </w:tr>
      <w:tr w:rsidR="00A448A2" w:rsidRPr="00EA4725" w:rsidTr="00B76AB6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448A2" w:rsidRPr="00EA4725" w:rsidRDefault="00A448A2" w:rsidP="00B76AB6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448A2" w:rsidRPr="00EA4725" w:rsidRDefault="00A448A2" w:rsidP="00B76AB6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13 October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A448A2" w:rsidRPr="00EA4725" w:rsidTr="00B76AB6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448A2" w:rsidRPr="00EA4725" w:rsidRDefault="00A448A2" w:rsidP="00B76AB6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14-5811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448A2" w:rsidRPr="00EA4725" w:rsidRDefault="00A448A2" w:rsidP="00B76AB6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A448A2" w:rsidRPr="00EA4725" w:rsidTr="00B76AB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448A2" w:rsidRPr="00EA4725" w:rsidRDefault="00A448A2" w:rsidP="00B76AB6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448A2" w:rsidRPr="00EA4725" w:rsidRDefault="00A448A2" w:rsidP="00B76AB6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A448A2" w:rsidRPr="00656ABC" w:rsidRDefault="00A448A2" w:rsidP="00A448A2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A448A2" w:rsidRPr="00656ABC" w:rsidTr="00B76AB6">
        <w:trPr>
          <w:jc w:val="center"/>
        </w:trPr>
        <w:tc>
          <w:tcPr>
            <w:tcW w:w="707" w:type="dxa"/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A448A2" w:rsidRPr="00656ABC" w:rsidRDefault="00A448A2" w:rsidP="00B76AB6">
            <w:pPr>
              <w:spacing w:before="120" w:after="8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A448A2" w:rsidRPr="00656ABC" w:rsidRDefault="00A448A2" w:rsidP="00B76AB6">
            <w:pPr>
              <w:spacing w:after="8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A448A2" w:rsidRPr="00656ABC" w:rsidRDefault="00A448A2" w:rsidP="00B76AB6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A448A2" w:rsidRPr="00656ABC" w:rsidRDefault="00A448A2" w:rsidP="00B76AB6">
            <w:pPr>
              <w:spacing w:before="120" w:after="8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Post-emergency application in cultures of lettuce (0.05mg/kg, safety security period of 28 days), cotton (0.04mg/kg, safety security period of 60 days), potato (0.02mg/kg, safety security period of 28 days), broccoli (0.05mg/kg, safety security period of 28 days), coffee (0.03mg/kg, safety security period of 14 days), canola (0.02mg/kg, safety security period of 60 days), onion (0.03mg/kg, safety security period of 28 days), carrot (0.2mg/kg, safety security period of 30 days), citrus (0.05mg/kg,</w:t>
            </w:r>
            <w:r>
              <w:t xml:space="preserve"> </w:t>
            </w:r>
            <w:r w:rsidRPr="00656ABC">
              <w:t>safety security period of 14 days), chrysanthemum (non-food use), cauliflower (0.05mg/kg, safety security period of 28 days), eucalyptus (non-food use), bean (0.04mg/kg, safety security period of 60 days), tobacco (non-food use), sunflower (0.02mg/kg, safety security period of 60 days), cassava (0.02mg/kg, safety security period of 28 days), cabbage (0.05mg/kg, safety security period of 28</w:t>
            </w:r>
            <w:r>
              <w:t> </w:t>
            </w:r>
            <w:r w:rsidRPr="00656ABC">
              <w:t>days). Pinus (non-food use), rose (non-food use), soy (0.3mg/kg, safety security period of 60</w:t>
            </w:r>
            <w:r>
              <w:t> </w:t>
            </w:r>
            <w:r w:rsidRPr="00656ABC">
              <w:t>days), tomato (0.2mg/kg, safety security period of 30 days). Maturing application in cultures of sugarcane (0.02mg/kg, safety security period of 35 days).</w:t>
            </w:r>
            <w:bookmarkEnd w:id="11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</w:tcPr>
          <w:p w:rsidR="00A448A2" w:rsidRPr="00656ABC" w:rsidRDefault="00A448A2" w:rsidP="00B76AB6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A448A2" w:rsidRPr="00656ABC" w:rsidRDefault="00A448A2" w:rsidP="00B76AB6">
            <w:pPr>
              <w:spacing w:before="120" w:after="8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A448A2" w:rsidRPr="00656ABC" w:rsidRDefault="00A448A2" w:rsidP="00B76AB6">
            <w:pPr>
              <w:spacing w:after="8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A448A2" w:rsidRPr="00656ABC" w:rsidRDefault="00A448A2" w:rsidP="00B76AB6">
            <w:pPr>
              <w:spacing w:after="8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8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F23 FLUAZIFOP-P of the monograph list of active ingredients for pesticides, household cleaning products and wood preservers, published by Resolution - RE N° 165 of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A448A2" w:rsidRPr="00656ABC" w:rsidRDefault="00A448A2" w:rsidP="00B76AB6">
            <w:pPr>
              <w:pStyle w:val="ab"/>
              <w:tabs>
                <w:tab w:val="clear" w:pos="4513"/>
                <w:tab w:val="clear" w:pos="9027"/>
              </w:tabs>
              <w:spacing w:after="80"/>
            </w:pPr>
            <w:r>
              <w:fldChar w:fldCharType="begin"/>
            </w:r>
            <w:r>
              <w:instrText xml:space="preserve"> HYPERLINK "http://portal.anvisa.gov.br/wps/wcm/connect/9a80920045b019afa6f3afa9166895f7/Consulta+P%C3%BAblica+n%C2%B0+86+GGTOX+atual.pdf?MOD=AJPERES" </w:instrText>
            </w:r>
            <w:r>
              <w:fldChar w:fldCharType="separate"/>
            </w:r>
            <w:r w:rsidRPr="00386089">
              <w:rPr>
                <w:rStyle w:val="af3"/>
              </w:rPr>
              <w:t>http://portal.anvisa.gov.br/wps/wcm/connect/9a80920045b019afa6f3afa9166895f7/Consulta+P%C3%BAblica+n%C2%B0+86+GGTOX+atual.pdf?MOD=AJPERES</w:t>
            </w:r>
            <w:bookmarkEnd w:id="19"/>
            <w:r>
              <w:fldChar w:fldCharType="end"/>
            </w:r>
          </w:p>
        </w:tc>
      </w:tr>
      <w:tr w:rsidR="00A448A2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Post-emergency application in cultures of lettuce (0.05mg/kg, safety security period of 28 days), cotton (0.04mg/kg, safety security period of 60</w:t>
            </w:r>
            <w:r>
              <w:t> </w:t>
            </w:r>
            <w:r w:rsidRPr="00656ABC">
              <w:t>days), potato (0.02mg/kg, safety security period of 28 days), broccoli (0.05mg/kg, safety security period of 28 days), coffee (0.03mg/kg, safety security period of 14</w:t>
            </w:r>
            <w:r>
              <w:t> </w:t>
            </w:r>
            <w:r w:rsidRPr="00656ABC">
              <w:t xml:space="preserve">days), canola (0.02mg/kg, safety security period of 60 days), onion (0.03mg/kg, safety security period of 28 days), carrot (0.2mg/kg, safety security period of 30 days), citrus (0.05mg/kg,safety security period of 14 days), chrysanthemum (non-food use), cauliflower (0.05mg/kg, safety security period of 28 days), eucalyptus (non-food use), </w:t>
            </w:r>
            <w:r w:rsidRPr="00656ABC">
              <w:lastRenderedPageBreak/>
              <w:t>bean (0.04mg/kg, safety security period of 60 days), tobacco (non-food use), sunflower (0.02mg/kg, safety security period of 60 days), cassava (0.02mg/kg, safety security period of 28 days), cabbage (0.05mg/kg, safety security period of 28 days). Pinus (non-food use), rose (non-food use), soy (0.3mg/kg, safety security period of 60 days), tomato (0.2mg/kg, safety security period of 30 days). Maturing application in cultures of sugarcane (0.02mg/kg, safety security period of 35 days).</w:t>
            </w:r>
            <w:bookmarkEnd w:id="20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A448A2" w:rsidRPr="00656ABC" w:rsidRDefault="00A448A2" w:rsidP="00B76AB6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A448A2" w:rsidRPr="00656ABC" w:rsidRDefault="00A448A2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A448A2" w:rsidRPr="00656ABC" w:rsidRDefault="00A448A2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A448A2" w:rsidRPr="00656ABC" w:rsidRDefault="00A448A2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A448A2" w:rsidRPr="00656ABC" w:rsidRDefault="00A448A2" w:rsidP="00B76AB6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A448A2" w:rsidRPr="00656ABC" w:rsidRDefault="00A448A2" w:rsidP="00B76AB6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A448A2" w:rsidRPr="00656ABC" w:rsidRDefault="00A448A2" w:rsidP="00B76AB6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The Brazilian Official Journal (Diário Oficial da União), </w:t>
            </w:r>
            <w:r>
              <w:t xml:space="preserve">1 </w:t>
            </w:r>
            <w:r w:rsidRPr="00656ABC">
              <w:t>October 2014, 189</w:t>
            </w:r>
            <w:r w:rsidRPr="00386089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 xml:space="preserve">1, p. 55. Draft Resolution (Consulta Pública) number 86, </w:t>
            </w:r>
            <w:r>
              <w:t xml:space="preserve">29 </w:t>
            </w:r>
            <w:r w:rsidRPr="00656ABC">
              <w:t>September 2014, issued by the Brazilian Health Surveillance Agency (ANVISA). When adopted, it will be published at the Brazilian Official Journal</w:t>
            </w:r>
            <w:r>
              <w:t xml:space="preserve"> (available in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Portuguese</w:t>
            </w:r>
            <w:bookmarkEnd w:id="38"/>
            <w:r>
              <w:rPr>
                <w:bCs/>
              </w:rPr>
              <w:t>).</w:t>
            </w:r>
          </w:p>
        </w:tc>
      </w:tr>
      <w:tr w:rsidR="00A448A2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To be determined after the end of the consultation period.</w:t>
            </w:r>
            <w:bookmarkEnd w:id="39"/>
          </w:p>
          <w:p w:rsidR="00A448A2" w:rsidRPr="00656ABC" w:rsidRDefault="00A448A2" w:rsidP="00B76AB6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To be determined after the end of the consultation period.</w:t>
            </w:r>
            <w:bookmarkEnd w:id="40"/>
          </w:p>
        </w:tc>
      </w:tr>
      <w:tr w:rsidR="00A448A2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To be determined after the end of the consultation period.</w:t>
            </w:r>
            <w:bookmarkEnd w:id="42"/>
          </w:p>
          <w:p w:rsidR="00A448A2" w:rsidRPr="00656ABC" w:rsidRDefault="00A448A2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A448A2" w:rsidRPr="00992665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30 October 2014</w:t>
            </w:r>
            <w:bookmarkEnd w:id="46"/>
          </w:p>
          <w:p w:rsidR="00A448A2" w:rsidRDefault="00A448A2" w:rsidP="00B76AB6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A448A2" w:rsidRPr="00992665" w:rsidRDefault="00A448A2" w:rsidP="00B76AB6">
            <w:pPr>
              <w:rPr>
                <w:lang w:val="es-ES"/>
              </w:rPr>
            </w:pPr>
            <w:r w:rsidRPr="00992665">
              <w:rPr>
                <w:lang w:val="es-ES"/>
              </w:rPr>
              <w:t>Ana Paula S. J. da Silveira e Silva</w:t>
            </w:r>
          </w:p>
          <w:p w:rsidR="00A448A2" w:rsidRPr="00992665" w:rsidRDefault="00A448A2" w:rsidP="00B76AB6">
            <w:pPr>
              <w:rPr>
                <w:lang w:val="es-ES"/>
              </w:rPr>
            </w:pPr>
            <w:r w:rsidRPr="00992665">
              <w:rPr>
                <w:lang w:val="es-ES"/>
              </w:rPr>
              <w:t>Tel: +</w:t>
            </w:r>
            <w:r>
              <w:rPr>
                <w:lang w:val="es-ES"/>
              </w:rPr>
              <w:t>(</w:t>
            </w:r>
            <w:r w:rsidRPr="00992665">
              <w:rPr>
                <w:lang w:val="es-ES"/>
              </w:rPr>
              <w:t>55 61) 3462</w:t>
            </w:r>
            <w:r>
              <w:rPr>
                <w:lang w:val="es-ES"/>
              </w:rPr>
              <w:t xml:space="preserve"> </w:t>
            </w:r>
            <w:r w:rsidRPr="00992665">
              <w:rPr>
                <w:lang w:val="es-ES"/>
              </w:rPr>
              <w:t>5402/5404/5406</w:t>
            </w:r>
          </w:p>
          <w:p w:rsidR="00A448A2" w:rsidRPr="00992665" w:rsidRDefault="00A448A2" w:rsidP="00B76AB6">
            <w:pPr>
              <w:spacing w:after="120"/>
              <w:rPr>
                <w:lang w:val="es-ES"/>
              </w:rPr>
            </w:pPr>
            <w:r w:rsidRPr="00992665">
              <w:rPr>
                <w:lang w:val="es-ES"/>
              </w:rPr>
              <w:t>E-mail: rel@anvisa.gov.br</w:t>
            </w:r>
            <w:bookmarkEnd w:id="49"/>
          </w:p>
        </w:tc>
      </w:tr>
      <w:tr w:rsidR="00A448A2" w:rsidRPr="00992665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448A2" w:rsidRPr="00656ABC" w:rsidRDefault="00A448A2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448A2" w:rsidRDefault="00A448A2" w:rsidP="00B76AB6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A448A2" w:rsidRPr="00992665" w:rsidRDefault="00A448A2" w:rsidP="00B76AB6">
            <w:pPr>
              <w:rPr>
                <w:b/>
                <w:lang w:val="es-ES"/>
              </w:rPr>
            </w:pPr>
            <w:r w:rsidRPr="00992665">
              <w:rPr>
                <w:bCs/>
                <w:lang w:val="es-ES"/>
              </w:rPr>
              <w:t>Ana Paula S. J. da Silveira e Silva</w:t>
            </w:r>
          </w:p>
          <w:p w:rsidR="00A448A2" w:rsidRPr="00992665" w:rsidRDefault="00A448A2" w:rsidP="00B76AB6">
            <w:pPr>
              <w:rPr>
                <w:bCs/>
                <w:lang w:val="es-ES"/>
              </w:rPr>
            </w:pPr>
            <w:r w:rsidRPr="00992665">
              <w:rPr>
                <w:bCs/>
                <w:lang w:val="es-ES"/>
              </w:rPr>
              <w:t>Tel: +</w:t>
            </w:r>
            <w:r>
              <w:rPr>
                <w:bCs/>
                <w:lang w:val="es-ES"/>
              </w:rPr>
              <w:t>(</w:t>
            </w:r>
            <w:r w:rsidRPr="00992665">
              <w:rPr>
                <w:bCs/>
                <w:lang w:val="es-ES"/>
              </w:rPr>
              <w:t>55 61) 3462</w:t>
            </w:r>
            <w:r>
              <w:rPr>
                <w:bCs/>
                <w:lang w:val="es-ES"/>
              </w:rPr>
              <w:t xml:space="preserve"> </w:t>
            </w:r>
            <w:r w:rsidRPr="00992665">
              <w:rPr>
                <w:bCs/>
                <w:lang w:val="es-ES"/>
              </w:rPr>
              <w:t>5402/5404/5406</w:t>
            </w:r>
          </w:p>
          <w:p w:rsidR="00A448A2" w:rsidRPr="00992665" w:rsidRDefault="00A448A2" w:rsidP="00B76AB6">
            <w:pPr>
              <w:spacing w:after="120"/>
              <w:rPr>
                <w:bCs/>
                <w:lang w:val="es-ES"/>
              </w:rPr>
            </w:pPr>
            <w:r w:rsidRPr="00992665">
              <w:rPr>
                <w:bCs/>
                <w:lang w:val="es-ES"/>
              </w:rPr>
              <w:t>E-mail: rel@anvisa.gov.br</w:t>
            </w:r>
            <w:bookmarkEnd w:id="52"/>
          </w:p>
        </w:tc>
      </w:tr>
    </w:tbl>
    <w:p w:rsidR="00A448A2" w:rsidRPr="00992665" w:rsidRDefault="00A448A2" w:rsidP="00A448A2">
      <w:pPr>
        <w:rPr>
          <w:lang w:val="es-ES"/>
        </w:rPr>
      </w:pP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A448A2" w:rsidTr="00B76AB6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A448A2" w:rsidTr="00B76AB6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448A2" w:rsidRDefault="00A448A2" w:rsidP="00B76AB6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A448A2" w:rsidRDefault="00A448A2" w:rsidP="00B76AB6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G/SPS/N/BRA/989</w:t>
                  </w:r>
                </w:p>
                <w:p w:rsidR="00A448A2" w:rsidRDefault="00A448A2" w:rsidP="00B76AB6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A448A2" w:rsidRDefault="00A448A2" w:rsidP="00B76AB6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14-5811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160" w:type="dxa"/>
                </w:tcPr>
                <w:p w:rsidR="00A448A2" w:rsidRDefault="00A448A2" w:rsidP="00B76AB6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448A2" w:rsidRDefault="00A448A2" w:rsidP="00B76AB6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A448A2" w:rsidRDefault="00A448A2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448A2" w:rsidRDefault="00A448A2" w:rsidP="00B76AB6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448A2" w:rsidRDefault="00A448A2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A448A2" w:rsidRDefault="00A448A2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A448A2" w:rsidRDefault="00A448A2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A448A2" w:rsidRDefault="00A448A2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-ANVISA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出苗后培植莴苣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；油菜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；菊花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；木薯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。松树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；玫瑰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。促成熟（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Maturing application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）施用培植甘蔗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A448A2" w:rsidRDefault="00A448A2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号决议公布的有关杀虫剂、家居消毒产品及木材防腐剂活性成分专项表活性成份</w:t>
                  </w:r>
                  <w:r>
                    <w:rPr>
                      <w:rFonts w:hAnsi="Times New Roman"/>
                      <w:lang w:eastAsia="zh-CN"/>
                    </w:rPr>
                    <w:t>F-23-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氟禾草灵</w:t>
                  </w:r>
                  <w:r>
                    <w:rPr>
                      <w:rFonts w:hAnsi="Times New Roman"/>
                      <w:lang w:eastAsia="zh-CN"/>
                    </w:rPr>
                    <w:t>(FLUAZIFOP-P)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的决议草案</w:t>
                  </w:r>
                  <w:r>
                    <w:rPr>
                      <w:rFonts w:hAnsi="Times New Roman"/>
                      <w:lang w:eastAsia="zh-CN"/>
                    </w:rPr>
                    <w:t>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日巴西官方公报</w:t>
                  </w:r>
                </w:p>
                <w:p w:rsidR="00A448A2" w:rsidRDefault="00A448A2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葡萄牙文</w:t>
                  </w:r>
                </w:p>
                <w:p w:rsidR="00A448A2" w:rsidRDefault="00A448A2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A448A2" w:rsidRDefault="00A448A2" w:rsidP="00B76AB6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http://portal.anvisa.gov.br/wps/wcm/connect/9a80920045b019afa6f3afa9166895f7/Consulta+P%C3%BAblica+n%C2%B0+86+GGTOX+atual.pdf?MOD=AJPERES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出苗后培植莴苣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；油菜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；菊花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；木薯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。松树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；玫瑰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。促成熟（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Maturingapplication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）施用培植甘蔗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lastRenderedPageBreak/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448A2" w:rsidRDefault="00A448A2" w:rsidP="00B76AB6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448A2" w:rsidRDefault="00A448A2" w:rsidP="00A448A2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,55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448A2" w:rsidRDefault="00A448A2" w:rsidP="00B76AB6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448A2" w:rsidRDefault="00A448A2" w:rsidP="00B76AB6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448A2" w:rsidTr="00B76AB6">
              <w:trPr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A448A2" w:rsidRDefault="00A448A2" w:rsidP="00B76AB6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AnaPaulaS.J.daSilveiraeSilvaTel:+(5561)3462-5402/5404/5406E-mail:rel@anvisa.gov.br</w:t>
                  </w:r>
                </w:p>
              </w:tc>
            </w:tr>
            <w:tr w:rsidR="00A448A2" w:rsidTr="00B76AB6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448A2" w:rsidRDefault="00A448A2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448A2" w:rsidRDefault="00A448A2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AnaPaulaS.J.daSilveiraeSilvaTel:+(5561)3462-5402/5404/5406E-mail:rel@anvisa.gov.br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448A2" w:rsidRDefault="00A448A2" w:rsidP="00B76AB6">
            <w:pPr>
              <w:rPr>
                <w:lang w:eastAsia="zh-CN"/>
              </w:rPr>
            </w:pPr>
          </w:p>
        </w:tc>
      </w:tr>
      <w:tr w:rsidR="00A448A2" w:rsidTr="00B76AB6">
        <w:trPr>
          <w:jc w:val="center"/>
        </w:trPr>
        <w:tc>
          <w:tcPr>
            <w:tcW w:w="9032" w:type="dxa"/>
            <w:vAlign w:val="center"/>
          </w:tcPr>
          <w:p w:rsidR="00A448A2" w:rsidRDefault="00A448A2" w:rsidP="00B76AB6">
            <w:pPr>
              <w:rPr>
                <w:lang w:eastAsia="zh-CN"/>
              </w:rPr>
            </w:pPr>
          </w:p>
        </w:tc>
      </w:tr>
    </w:tbl>
    <w:p w:rsidR="00A448A2" w:rsidRDefault="00A448A2" w:rsidP="00A448A2">
      <w:pPr>
        <w:rPr>
          <w:lang w:eastAsia="zh-CN"/>
        </w:rPr>
      </w:pPr>
    </w:p>
    <w:p w:rsidR="00A448A2" w:rsidRDefault="00A448A2" w:rsidP="00A448A2">
      <w:pPr>
        <w:rPr>
          <w:lang w:eastAsia="zh-CN"/>
        </w:rPr>
      </w:pPr>
    </w:p>
    <w:p w:rsidR="00A16CCD" w:rsidRPr="00A448A2" w:rsidRDefault="00A16CCD" w:rsidP="00A448A2">
      <w:pPr>
        <w:rPr>
          <w:lang w:eastAsia="zh-CN"/>
        </w:rPr>
      </w:pPr>
    </w:p>
    <w:sectPr w:rsidR="00A16CCD" w:rsidRPr="00A448A2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DDD" w:rsidRDefault="00947DDD" w:rsidP="00A16CCD">
      <w:r>
        <w:separator/>
      </w:r>
    </w:p>
  </w:endnote>
  <w:endnote w:type="continuationSeparator" w:id="1">
    <w:p w:rsidR="00947DDD" w:rsidRDefault="00947DDD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DDD" w:rsidRDefault="00947DDD" w:rsidP="00A16CCD">
      <w:r>
        <w:separator/>
      </w:r>
    </w:p>
  </w:footnote>
  <w:footnote w:type="continuationSeparator" w:id="1">
    <w:p w:rsidR="00947DDD" w:rsidRDefault="00947DDD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2C8F5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585746" w:tentative="1">
      <w:start w:val="1"/>
      <w:numFmt w:val="lowerLetter"/>
      <w:lvlText w:val="%2."/>
      <w:lvlJc w:val="left"/>
      <w:pPr>
        <w:ind w:left="1080" w:hanging="360"/>
      </w:pPr>
    </w:lvl>
    <w:lvl w:ilvl="2" w:tplc="ACA83CAC" w:tentative="1">
      <w:start w:val="1"/>
      <w:numFmt w:val="lowerRoman"/>
      <w:lvlText w:val="%3."/>
      <w:lvlJc w:val="right"/>
      <w:pPr>
        <w:ind w:left="1800" w:hanging="180"/>
      </w:pPr>
    </w:lvl>
    <w:lvl w:ilvl="3" w:tplc="25F44E6A" w:tentative="1">
      <w:start w:val="1"/>
      <w:numFmt w:val="decimal"/>
      <w:lvlText w:val="%4."/>
      <w:lvlJc w:val="left"/>
      <w:pPr>
        <w:ind w:left="2520" w:hanging="360"/>
      </w:pPr>
    </w:lvl>
    <w:lvl w:ilvl="4" w:tplc="BA001140" w:tentative="1">
      <w:start w:val="1"/>
      <w:numFmt w:val="lowerLetter"/>
      <w:lvlText w:val="%5."/>
      <w:lvlJc w:val="left"/>
      <w:pPr>
        <w:ind w:left="3240" w:hanging="360"/>
      </w:pPr>
    </w:lvl>
    <w:lvl w:ilvl="5" w:tplc="02FCDDCC" w:tentative="1">
      <w:start w:val="1"/>
      <w:numFmt w:val="lowerRoman"/>
      <w:lvlText w:val="%6."/>
      <w:lvlJc w:val="right"/>
      <w:pPr>
        <w:ind w:left="3960" w:hanging="180"/>
      </w:pPr>
    </w:lvl>
    <w:lvl w:ilvl="6" w:tplc="6C7C626C" w:tentative="1">
      <w:start w:val="1"/>
      <w:numFmt w:val="decimal"/>
      <w:lvlText w:val="%7."/>
      <w:lvlJc w:val="left"/>
      <w:pPr>
        <w:ind w:left="4680" w:hanging="360"/>
      </w:pPr>
    </w:lvl>
    <w:lvl w:ilvl="7" w:tplc="6330C34A" w:tentative="1">
      <w:start w:val="1"/>
      <w:numFmt w:val="lowerLetter"/>
      <w:lvlText w:val="%8."/>
      <w:lvlJc w:val="left"/>
      <w:pPr>
        <w:ind w:left="5400" w:hanging="360"/>
      </w:pPr>
    </w:lvl>
    <w:lvl w:ilvl="8" w:tplc="5F7481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47DDD"/>
    <w:rsid w:val="009C01AE"/>
    <w:rsid w:val="009E3C21"/>
    <w:rsid w:val="009F6F03"/>
    <w:rsid w:val="00A16CCD"/>
    <w:rsid w:val="00A2560E"/>
    <w:rsid w:val="00A448A2"/>
    <w:rsid w:val="00A553BD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1243</Words>
  <Characters>7091</Characters>
  <Application>Microsoft Office Word</Application>
  <DocSecurity>0</DocSecurity>
  <Lines>59</Lines>
  <Paragraphs>16</Paragraphs>
  <ScaleCrop>false</ScaleCrop>
  <LinksUpToDate>false</LinksUpToDate>
  <CharactersWithSpaces>8318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