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090ADB" w:rsidRPr="00EA4725" w:rsidTr="00BF1582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0ADB" w:rsidRPr="00EA4725" w:rsidRDefault="00090ADB" w:rsidP="00BF1582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0ADB" w:rsidRPr="00EA4725" w:rsidRDefault="00090ADB" w:rsidP="00BF1582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090ADB" w:rsidRPr="00EA4725" w:rsidTr="00BF1582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090ADB" w:rsidRPr="00EA4725" w:rsidRDefault="00090ADB" w:rsidP="00BF1582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090ADB" w:rsidRPr="00EA4725" w:rsidRDefault="00090ADB" w:rsidP="00BF1582">
            <w:pPr>
              <w:jc w:val="right"/>
              <w:rPr>
                <w:b/>
                <w:szCs w:val="16"/>
              </w:rPr>
            </w:pPr>
          </w:p>
        </w:tc>
      </w:tr>
      <w:tr w:rsidR="00090ADB" w:rsidRPr="00EA4725" w:rsidTr="00BF1582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090ADB" w:rsidRPr="00EA4725" w:rsidRDefault="00090ADB" w:rsidP="00BF1582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090ADB" w:rsidRDefault="00090ADB" w:rsidP="00BF1582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G/SPS/N/BRA/992</w:t>
            </w:r>
          </w:p>
          <w:bookmarkEnd w:id="1"/>
          <w:p w:rsidR="00090ADB" w:rsidRPr="00EA4725" w:rsidRDefault="00090ADB" w:rsidP="00BF1582">
            <w:pPr>
              <w:jc w:val="right"/>
              <w:rPr>
                <w:b/>
                <w:szCs w:val="16"/>
              </w:rPr>
            </w:pPr>
          </w:p>
        </w:tc>
      </w:tr>
      <w:tr w:rsidR="00090ADB" w:rsidRPr="00EA4725" w:rsidTr="00BF1582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0ADB" w:rsidRPr="00EA4725" w:rsidRDefault="00090ADB" w:rsidP="00BF1582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0ADB" w:rsidRPr="00EA4725" w:rsidRDefault="00090ADB" w:rsidP="00BF1582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13 October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090ADB" w:rsidRPr="00EA4725" w:rsidTr="00BF1582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090ADB" w:rsidRPr="00EA4725" w:rsidRDefault="00090ADB" w:rsidP="00BF1582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14-5814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090ADB" w:rsidRPr="00EA4725" w:rsidRDefault="00090ADB" w:rsidP="00BF1582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090ADB" w:rsidRPr="00EA4725" w:rsidTr="00BF1582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090ADB" w:rsidRPr="00EA4725" w:rsidRDefault="00090ADB" w:rsidP="00BF1582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090ADB" w:rsidRPr="00EA4725" w:rsidRDefault="00090ADB" w:rsidP="00BF1582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090ADB" w:rsidRPr="00656ABC" w:rsidRDefault="00090ADB" w:rsidP="00090ADB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090ADB" w:rsidRPr="00656ABC" w:rsidTr="00BF1582">
        <w:trPr>
          <w:jc w:val="center"/>
        </w:trPr>
        <w:tc>
          <w:tcPr>
            <w:tcW w:w="707" w:type="dxa"/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090ADB" w:rsidRPr="00656ABC" w:rsidRDefault="00090ADB" w:rsidP="00BF1582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090ADB" w:rsidRPr="00656ABC" w:rsidTr="00BF1582">
        <w:trPr>
          <w:jc w:val="center"/>
        </w:trPr>
        <w:tc>
          <w:tcPr>
            <w:tcW w:w="707" w:type="dxa"/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090ADB" w:rsidRPr="00656ABC" w:rsidTr="00BF1582">
        <w:trPr>
          <w:jc w:val="center"/>
        </w:trPr>
        <w:tc>
          <w:tcPr>
            <w:tcW w:w="707" w:type="dxa"/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Pre/post-emergency application in cultures of rice (0.05mg/kg, safety security period of 60 days), sugarcane (0.05mg/kg, safety security period not determined due to the mode of use), pinus (non-food use), rubber tree (non</w:t>
            </w:r>
            <w:r>
              <w:noBreakHyphen/>
            </w:r>
            <w:r w:rsidRPr="00656ABC">
              <w:t>food use). Post-emergency application in cultures of soy (3.0mg/kg, safety security period of 60 days), bean (0.02mg/kg, safety security period of 40 days), corn (0.1mg/kg, safety security period of 96 days). Pre-emergency application in cultures of soy (3,0mg/kg, safety security period not determined due to the mode of use). Stumps and strains application in cultures of eucalyptus (non-food use).</w:t>
            </w:r>
            <w:bookmarkEnd w:id="11"/>
          </w:p>
        </w:tc>
      </w:tr>
      <w:tr w:rsidR="00090ADB" w:rsidRPr="00656ABC" w:rsidTr="00BF1582">
        <w:trPr>
          <w:jc w:val="center"/>
        </w:trPr>
        <w:tc>
          <w:tcPr>
            <w:tcW w:w="707" w:type="dxa"/>
          </w:tcPr>
          <w:p w:rsidR="00090ADB" w:rsidRPr="00656ABC" w:rsidRDefault="00090ADB" w:rsidP="00BF1582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090ADB" w:rsidRPr="00656ABC" w:rsidRDefault="00090ADB" w:rsidP="00BF1582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090ADB" w:rsidRPr="00656ABC" w:rsidRDefault="00090ADB" w:rsidP="00BF1582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090ADB" w:rsidRPr="00656ABC" w:rsidRDefault="00090ADB" w:rsidP="00BF1582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090ADB" w:rsidRPr="00656ABC" w:rsidTr="00BF1582">
        <w:trPr>
          <w:jc w:val="center"/>
        </w:trPr>
        <w:tc>
          <w:tcPr>
            <w:tcW w:w="707" w:type="dxa"/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I12 IMAZAPYR of the monograph list of active ingredients for pesticides, household cleaning products and wood preservers, published by Resolution - RE N° 165 of 29 August 2003, Brazilian Official Gazette (DOU Diário Oficial da União) of 2 September 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090ADB" w:rsidRPr="00656ABC" w:rsidRDefault="00090ADB" w:rsidP="00BF1582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"http://portal.anvisa.gov.br/wps/wcm/connect/6c58750045b0781ea98fafa9166895f7/Consulta+P%C3%BAblica+n%C2%B0+93+GGTOX+atual.pdf?MOD=AJPERES" </w:instrText>
            </w:r>
            <w:r>
              <w:fldChar w:fldCharType="separate"/>
            </w:r>
            <w:r w:rsidRPr="00624378">
              <w:rPr>
                <w:rStyle w:val="af3"/>
              </w:rPr>
              <w:t>http://portal.anvisa.gov.br/wps/wcm/connect/6c58750045b0781ea98fafa9166895f7/Consulta+P%C3%BAblica+n%C2%B</w:t>
            </w:r>
            <w:r w:rsidRPr="00624378">
              <w:rPr>
                <w:rStyle w:val="af3"/>
              </w:rPr>
              <w:t>0</w:t>
            </w:r>
            <w:r w:rsidRPr="00624378">
              <w:rPr>
                <w:rStyle w:val="af3"/>
              </w:rPr>
              <w:t>+</w:t>
            </w:r>
            <w:r w:rsidRPr="00624378">
              <w:rPr>
                <w:rStyle w:val="af3"/>
              </w:rPr>
              <w:t>93+GGTO</w:t>
            </w:r>
            <w:r w:rsidRPr="00624378">
              <w:rPr>
                <w:rStyle w:val="af3"/>
              </w:rPr>
              <w:t>X</w:t>
            </w:r>
            <w:r w:rsidRPr="00624378">
              <w:rPr>
                <w:rStyle w:val="af3"/>
              </w:rPr>
              <w:t>+</w:t>
            </w:r>
            <w:r w:rsidRPr="00624378">
              <w:rPr>
                <w:rStyle w:val="af3"/>
              </w:rPr>
              <w:t>atual.pdf?MOD=AJPERES</w:t>
            </w:r>
            <w:bookmarkEnd w:id="19"/>
            <w:r>
              <w:fldChar w:fldCharType="end"/>
            </w:r>
          </w:p>
        </w:tc>
      </w:tr>
      <w:tr w:rsidR="00090ADB" w:rsidRPr="00656ABC" w:rsidTr="00BF1582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Pre/post-emergency application in cultures of rice (0.05mg/kg, safety security period of 60 days), sugarcane (0.05mg/kg, safety security period not determined due to the mode of use), pinus (non-food use), rubber tree (non</w:t>
            </w:r>
            <w:r>
              <w:noBreakHyphen/>
            </w:r>
            <w:r w:rsidRPr="00656ABC">
              <w:t>food use). Post-emergency application in cultures of soy (3.0mg/kg, safety security period of 60 days), bean (0.02mg/kg, safety security period of 40 days), corn (0.1mg/kg, safety security period of 96 days). Pre-emergency application in cultures of soy (3.0mg/kg, safety security period not determined due to the mode of use). Stumps and strains application in cultures of eucalyptus (non-food use).</w:t>
            </w:r>
            <w:bookmarkEnd w:id="20"/>
          </w:p>
        </w:tc>
      </w:tr>
      <w:tr w:rsidR="00090ADB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090ADB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090ADB" w:rsidRPr="00656ABC" w:rsidRDefault="00090ADB" w:rsidP="00BF1582">
            <w:pPr>
              <w:keepNext/>
              <w:keepLines/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090ADB" w:rsidRPr="00656ABC" w:rsidRDefault="00090ADB" w:rsidP="00BF1582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090ADB" w:rsidRPr="00656ABC" w:rsidRDefault="00090ADB" w:rsidP="00BF1582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090ADB" w:rsidRPr="00656ABC" w:rsidRDefault="00090ADB" w:rsidP="00BF1582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090ADB" w:rsidRPr="00656ABC" w:rsidRDefault="00090ADB" w:rsidP="00BF1582">
            <w:pPr>
              <w:keepNext/>
              <w:keepLines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090ADB" w:rsidRPr="00656ABC" w:rsidRDefault="00090ADB" w:rsidP="00BF1582">
            <w:pPr>
              <w:keepNext/>
              <w:keepLines/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090ADB" w:rsidRPr="00656ABC" w:rsidRDefault="00090ADB" w:rsidP="00BF1582">
            <w:pPr>
              <w:keepNext/>
              <w:keepLines/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090ADB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 Brazilian Official Journal (Diário Oficial da União), 1 October 2014, 189</w:t>
            </w:r>
            <w:r w:rsidRPr="00624378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57. Draft Resolution (Consulta Pública) number 93, 29 September 2014, issued by the Brazilian Health Surveillance Agency (ANVISA). When adopted, it will be published at the Brazilian Official Journal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Portuguese)</w:t>
            </w:r>
            <w:bookmarkEnd w:id="37"/>
            <w:r>
              <w:rPr>
                <w:bCs/>
              </w:rPr>
              <w:t>.</w:t>
            </w:r>
          </w:p>
        </w:tc>
      </w:tr>
      <w:tr w:rsidR="00090ADB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 after the end of the consultation period.</w:t>
            </w:r>
            <w:bookmarkEnd w:id="38"/>
          </w:p>
          <w:p w:rsidR="00090ADB" w:rsidRPr="00656ABC" w:rsidRDefault="00090ADB" w:rsidP="00BF1582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To be determined after the end of the consultation period.</w:t>
            </w:r>
            <w:bookmarkEnd w:id="39"/>
          </w:p>
        </w:tc>
      </w:tr>
      <w:tr w:rsidR="00090ADB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To be determined after the end of the consultation period.</w:t>
            </w:r>
            <w:bookmarkEnd w:id="41"/>
          </w:p>
          <w:p w:rsidR="00090ADB" w:rsidRPr="00656ABC" w:rsidRDefault="00090ADB" w:rsidP="00BF1582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090ADB" w:rsidRPr="00624378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30 October 2014</w:t>
            </w:r>
            <w:bookmarkEnd w:id="45"/>
          </w:p>
          <w:p w:rsidR="00090ADB" w:rsidRDefault="00090ADB" w:rsidP="00BF1582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090ADB" w:rsidRPr="00624378" w:rsidRDefault="00090ADB" w:rsidP="00BF1582">
            <w:pPr>
              <w:rPr>
                <w:lang w:val="es-ES"/>
              </w:rPr>
            </w:pPr>
            <w:r w:rsidRPr="00624378">
              <w:rPr>
                <w:lang w:val="es-ES"/>
              </w:rPr>
              <w:t>Ana Paula S. J. da Silveira e Silva</w:t>
            </w:r>
          </w:p>
          <w:p w:rsidR="00090ADB" w:rsidRPr="00624378" w:rsidRDefault="00090ADB" w:rsidP="00BF1582">
            <w:pPr>
              <w:rPr>
                <w:lang w:val="es-ES"/>
              </w:rPr>
            </w:pPr>
            <w:r w:rsidRPr="00624378">
              <w:rPr>
                <w:lang w:val="es-ES"/>
              </w:rPr>
              <w:t>Tel: +(55 61) 3462 5402/5404/5406</w:t>
            </w:r>
          </w:p>
          <w:p w:rsidR="00090ADB" w:rsidRPr="00624378" w:rsidRDefault="00090ADB" w:rsidP="00BF1582">
            <w:pPr>
              <w:spacing w:after="120"/>
              <w:rPr>
                <w:lang w:val="es-ES"/>
              </w:rPr>
            </w:pPr>
            <w:r w:rsidRPr="00624378">
              <w:rPr>
                <w:lang w:val="es-ES"/>
              </w:rPr>
              <w:t>E-mail: rel@anvisa.gov.br</w:t>
            </w:r>
            <w:bookmarkEnd w:id="48"/>
          </w:p>
        </w:tc>
      </w:tr>
      <w:tr w:rsidR="00090ADB" w:rsidRPr="00624378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090ADB" w:rsidRPr="00656ABC" w:rsidRDefault="00090ADB" w:rsidP="00BF1582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090ADB" w:rsidRDefault="00090ADB" w:rsidP="00BF1582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090ADB" w:rsidRPr="00624378" w:rsidRDefault="00090ADB" w:rsidP="00BF1582">
            <w:pPr>
              <w:rPr>
                <w:b/>
                <w:lang w:val="es-ES"/>
              </w:rPr>
            </w:pPr>
            <w:r w:rsidRPr="00624378">
              <w:rPr>
                <w:bCs/>
                <w:lang w:val="es-ES"/>
              </w:rPr>
              <w:t>Ana Paula S. J. da Silveira e Silva</w:t>
            </w:r>
          </w:p>
          <w:p w:rsidR="00090ADB" w:rsidRPr="00624378" w:rsidRDefault="00090ADB" w:rsidP="00BF1582">
            <w:pPr>
              <w:rPr>
                <w:bCs/>
                <w:lang w:val="es-ES"/>
              </w:rPr>
            </w:pPr>
            <w:r w:rsidRPr="00624378">
              <w:rPr>
                <w:bCs/>
                <w:lang w:val="es-ES"/>
              </w:rPr>
              <w:t>Tel: +(55 61) 3462 5402/5404/5406</w:t>
            </w:r>
          </w:p>
          <w:p w:rsidR="00090ADB" w:rsidRPr="00624378" w:rsidRDefault="00090ADB" w:rsidP="00BF1582">
            <w:pPr>
              <w:spacing w:after="120"/>
              <w:rPr>
                <w:bCs/>
                <w:lang w:val="es-ES"/>
              </w:rPr>
            </w:pPr>
            <w:r w:rsidRPr="00624378">
              <w:rPr>
                <w:bCs/>
                <w:lang w:val="es-ES"/>
              </w:rPr>
              <w:t>E-mail: rel@anvisa.gov.br</w:t>
            </w:r>
            <w:bookmarkEnd w:id="51"/>
          </w:p>
        </w:tc>
      </w:tr>
    </w:tbl>
    <w:p w:rsidR="00090ADB" w:rsidRPr="00624378" w:rsidRDefault="00090ADB" w:rsidP="00090ADB">
      <w:pPr>
        <w:rPr>
          <w:lang w:val="es-ES"/>
        </w:rPr>
      </w:pPr>
    </w:p>
    <w:p w:rsidR="00090ADB" w:rsidRDefault="00090ADB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090ADB" w:rsidTr="00BF1582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090ADB" w:rsidTr="00BF1582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090ADB" w:rsidRDefault="00090ADB" w:rsidP="00BF1582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090ADB" w:rsidRDefault="00090ADB" w:rsidP="00BF1582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G/SPS/N/BRA/992</w:t>
                  </w:r>
                </w:p>
                <w:p w:rsidR="00090ADB" w:rsidRDefault="00090ADB" w:rsidP="00BF1582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2014-10-13</w:t>
                  </w:r>
                </w:p>
                <w:p w:rsidR="00090ADB" w:rsidRDefault="00090ADB" w:rsidP="00BF1582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14-5814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160" w:type="dxa"/>
                </w:tcPr>
                <w:p w:rsidR="00090ADB" w:rsidRDefault="00090ADB" w:rsidP="00BF1582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090ADB" w:rsidRDefault="00090ADB" w:rsidP="00BF1582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090ADB" w:rsidRDefault="00090ADB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090ADB" w:rsidRDefault="00090ADB" w:rsidP="00BF1582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090ADB" w:rsidRDefault="00090ADB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090ADB" w:rsidRDefault="00090ADB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090ADB" w:rsidRDefault="00090ADB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090ADB" w:rsidRDefault="00090ADB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-ANVISA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出苗前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后培植稻米施用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60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；松树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；橡胶树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。出苗后施用培植大豆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60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40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96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。出苗前培植大豆施用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(3,0mg/kg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。树桩和菌株施用培植桉树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090ADB" w:rsidRDefault="00090ADB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hAnsi="Times New Roman"/>
                      <w:lang w:eastAsia="zh-CN"/>
                    </w:rPr>
                    <w:t>号决议公布的有关杀虫剂、家居消毒产品及木材防腐剂活性成分专项表活性成份</w:t>
                  </w:r>
                  <w:r>
                    <w:rPr>
                      <w:rFonts w:hAnsi="Times New Roman"/>
                      <w:lang w:eastAsia="zh-CN"/>
                    </w:rPr>
                    <w:t>I12-</w:t>
                  </w:r>
                  <w:r>
                    <w:rPr>
                      <w:rFonts w:hAnsi="Times New Roman"/>
                      <w:lang w:eastAsia="zh-CN"/>
                    </w:rPr>
                    <w:t>灭草烟</w:t>
                  </w:r>
                  <w:r>
                    <w:rPr>
                      <w:rFonts w:hAnsi="Times New Roman"/>
                      <w:lang w:eastAsia="zh-CN"/>
                    </w:rPr>
                    <w:t>(IMAZAPYR)</w:t>
                  </w:r>
                  <w:r>
                    <w:rPr>
                      <w:rFonts w:hAnsi="Times New Roman"/>
                      <w:lang w:eastAsia="zh-CN"/>
                    </w:rPr>
                    <w:t>的决议草案——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</w:t>
                  </w:r>
                </w:p>
                <w:p w:rsidR="00090ADB" w:rsidRDefault="00090ADB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葡萄牙文</w:t>
                  </w:r>
                </w:p>
                <w:p w:rsidR="00090ADB" w:rsidRDefault="00090ADB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090ADB" w:rsidRDefault="00090ADB" w:rsidP="00BF158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http://portal.anvisa.gov.br/wps/wcm/connect/697a450045b06bcda8c5afa9166895f7/Consulta+P%C3%BAblica+n%C2%B0+90+GGTOX+atual.pdf?MOD=AJPERES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出苗前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后培植稻米施用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；松树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；橡胶树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。出苗后施用培植大豆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96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。出苗前培植大豆施用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(3,0mg/kg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。树桩和菌株施用培植桉树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090ADB" w:rsidRDefault="00090ADB" w:rsidP="00BF1582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090ADB" w:rsidRDefault="00090ADB" w:rsidP="00090ADB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,57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号决议草案。一经批准，将公布于巴西官方公报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090ADB" w:rsidRDefault="00090ADB" w:rsidP="00BF1582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lastRenderedPageBreak/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11.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090ADB" w:rsidRDefault="00090ADB" w:rsidP="00BF1582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090ADB" w:rsidTr="00BF1582">
              <w:trPr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090ADB" w:rsidRDefault="00090ADB" w:rsidP="00BF1582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AnaPaulaS.J.daSilveiraeSilvaTel:+(5561)3462-5402/5404/5406E-mail:rel@anvisa.gov.br</w:t>
                  </w:r>
                </w:p>
              </w:tc>
            </w:tr>
            <w:tr w:rsidR="00090ADB" w:rsidTr="00BF1582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090ADB" w:rsidRDefault="00090ADB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090ADB" w:rsidRDefault="00090ADB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AnaPaulaS.J.daSilveiraeSilvaTel:+(5561)3462-5402/5404/5406E-mail:rel@anvisa.gov.br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090ADB" w:rsidRDefault="00090ADB" w:rsidP="00BF1582">
            <w:pPr>
              <w:rPr>
                <w:lang w:eastAsia="zh-CN"/>
              </w:rPr>
            </w:pPr>
          </w:p>
        </w:tc>
      </w:tr>
      <w:tr w:rsidR="00090ADB" w:rsidTr="00BF1582">
        <w:trPr>
          <w:jc w:val="center"/>
        </w:trPr>
        <w:tc>
          <w:tcPr>
            <w:tcW w:w="9032" w:type="dxa"/>
            <w:vAlign w:val="center"/>
          </w:tcPr>
          <w:p w:rsidR="00090ADB" w:rsidRDefault="00090ADB" w:rsidP="00BF1582">
            <w:pPr>
              <w:rPr>
                <w:lang w:eastAsia="zh-CN"/>
              </w:rPr>
            </w:pPr>
          </w:p>
        </w:tc>
      </w:tr>
    </w:tbl>
    <w:p w:rsidR="00A16CCD" w:rsidRPr="00090ADB" w:rsidRDefault="00A16CCD" w:rsidP="00090ADB">
      <w:pPr>
        <w:rPr>
          <w:lang w:eastAsia="zh-CN"/>
        </w:rPr>
      </w:pPr>
    </w:p>
    <w:sectPr w:rsidR="00A16CCD" w:rsidRPr="00090ADB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601" w:rsidRDefault="00803601" w:rsidP="00A16CCD">
      <w:r>
        <w:separator/>
      </w:r>
    </w:p>
  </w:endnote>
  <w:endnote w:type="continuationSeparator" w:id="1">
    <w:p w:rsidR="00803601" w:rsidRDefault="00803601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601" w:rsidRDefault="00803601" w:rsidP="00A16CCD">
      <w:r>
        <w:separator/>
      </w:r>
    </w:p>
  </w:footnote>
  <w:footnote w:type="continuationSeparator" w:id="1">
    <w:p w:rsidR="00803601" w:rsidRDefault="00803601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7DA468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D457EC" w:tentative="1">
      <w:start w:val="1"/>
      <w:numFmt w:val="lowerLetter"/>
      <w:lvlText w:val="%2."/>
      <w:lvlJc w:val="left"/>
      <w:pPr>
        <w:ind w:left="1080" w:hanging="360"/>
      </w:pPr>
    </w:lvl>
    <w:lvl w:ilvl="2" w:tplc="593EF2F6" w:tentative="1">
      <w:start w:val="1"/>
      <w:numFmt w:val="lowerRoman"/>
      <w:lvlText w:val="%3."/>
      <w:lvlJc w:val="right"/>
      <w:pPr>
        <w:ind w:left="1800" w:hanging="180"/>
      </w:pPr>
    </w:lvl>
    <w:lvl w:ilvl="3" w:tplc="8D54536C" w:tentative="1">
      <w:start w:val="1"/>
      <w:numFmt w:val="decimal"/>
      <w:lvlText w:val="%4."/>
      <w:lvlJc w:val="left"/>
      <w:pPr>
        <w:ind w:left="2520" w:hanging="360"/>
      </w:pPr>
    </w:lvl>
    <w:lvl w:ilvl="4" w:tplc="C69E4D58" w:tentative="1">
      <w:start w:val="1"/>
      <w:numFmt w:val="lowerLetter"/>
      <w:lvlText w:val="%5."/>
      <w:lvlJc w:val="left"/>
      <w:pPr>
        <w:ind w:left="3240" w:hanging="360"/>
      </w:pPr>
    </w:lvl>
    <w:lvl w:ilvl="5" w:tplc="ADD69C98" w:tentative="1">
      <w:start w:val="1"/>
      <w:numFmt w:val="lowerRoman"/>
      <w:lvlText w:val="%6."/>
      <w:lvlJc w:val="right"/>
      <w:pPr>
        <w:ind w:left="3960" w:hanging="180"/>
      </w:pPr>
    </w:lvl>
    <w:lvl w:ilvl="6" w:tplc="06DA484C" w:tentative="1">
      <w:start w:val="1"/>
      <w:numFmt w:val="decimal"/>
      <w:lvlText w:val="%7."/>
      <w:lvlJc w:val="left"/>
      <w:pPr>
        <w:ind w:left="4680" w:hanging="360"/>
      </w:pPr>
    </w:lvl>
    <w:lvl w:ilvl="7" w:tplc="DBC46A7C" w:tentative="1">
      <w:start w:val="1"/>
      <w:numFmt w:val="lowerLetter"/>
      <w:lvlText w:val="%8."/>
      <w:lvlJc w:val="left"/>
      <w:pPr>
        <w:ind w:left="5400" w:hanging="360"/>
      </w:pPr>
    </w:lvl>
    <w:lvl w:ilvl="8" w:tplc="AA54FA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90ADB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03601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74058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1012</Words>
  <Characters>5769</Characters>
  <Application>Microsoft Office Word</Application>
  <DocSecurity>0</DocSecurity>
  <Lines>48</Lines>
  <Paragraphs>13</Paragraphs>
  <ScaleCrop>false</ScaleCrop>
  <LinksUpToDate>false</LinksUpToDate>
  <CharactersWithSpaces>6768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