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87611E" w:rsidRPr="00EA4725" w:rsidTr="0004226B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611E" w:rsidRPr="00EA4725" w:rsidRDefault="0087611E" w:rsidP="0004226B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611E" w:rsidRPr="00EA4725" w:rsidRDefault="0087611E" w:rsidP="0004226B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87611E" w:rsidRPr="00EA4725" w:rsidTr="0004226B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87611E" w:rsidRPr="00EA4725" w:rsidRDefault="0087611E" w:rsidP="0004226B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7611E" w:rsidRPr="00EA4725" w:rsidRDefault="0087611E" w:rsidP="0004226B">
            <w:pPr>
              <w:jc w:val="right"/>
              <w:rPr>
                <w:b/>
                <w:szCs w:val="16"/>
              </w:rPr>
            </w:pPr>
          </w:p>
        </w:tc>
      </w:tr>
      <w:tr w:rsidR="0087611E" w:rsidRPr="00EA4725" w:rsidTr="0004226B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87611E" w:rsidRPr="00EA4725" w:rsidRDefault="0087611E" w:rsidP="0004226B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7611E" w:rsidRDefault="0087611E" w:rsidP="0004226B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G/SPS/N/BRA/982</w:t>
            </w:r>
          </w:p>
          <w:bookmarkEnd w:id="1"/>
          <w:p w:rsidR="0087611E" w:rsidRPr="00EA4725" w:rsidRDefault="0087611E" w:rsidP="0004226B">
            <w:pPr>
              <w:jc w:val="right"/>
              <w:rPr>
                <w:b/>
                <w:szCs w:val="16"/>
              </w:rPr>
            </w:pPr>
          </w:p>
        </w:tc>
      </w:tr>
      <w:tr w:rsidR="0087611E" w:rsidRPr="00EA4725" w:rsidTr="0004226B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611E" w:rsidRPr="00EA4725" w:rsidRDefault="0087611E" w:rsidP="0004226B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611E" w:rsidRPr="00EA4725" w:rsidRDefault="0087611E" w:rsidP="0004226B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13 October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87611E" w:rsidRPr="00EA4725" w:rsidTr="0004226B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7611E" w:rsidRPr="00EA4725" w:rsidRDefault="0087611E" w:rsidP="0004226B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14-5802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7611E" w:rsidRPr="00EA4725" w:rsidRDefault="0087611E" w:rsidP="0004226B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87611E" w:rsidRPr="00EA4725" w:rsidTr="0004226B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7611E" w:rsidRPr="00EA4725" w:rsidRDefault="0087611E" w:rsidP="0004226B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7611E" w:rsidRPr="00EA4725" w:rsidRDefault="0087611E" w:rsidP="0004226B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87611E" w:rsidRPr="00656ABC" w:rsidRDefault="0087611E" w:rsidP="0087611E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87611E" w:rsidRPr="00656ABC" w:rsidTr="0004226B">
        <w:trPr>
          <w:jc w:val="center"/>
        </w:trPr>
        <w:tc>
          <w:tcPr>
            <w:tcW w:w="707" w:type="dxa"/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87611E" w:rsidRPr="00656ABC" w:rsidRDefault="0087611E" w:rsidP="0004226B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87611E" w:rsidRPr="00656ABC" w:rsidTr="0004226B">
        <w:trPr>
          <w:jc w:val="center"/>
        </w:trPr>
        <w:tc>
          <w:tcPr>
            <w:tcW w:w="707" w:type="dxa"/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87611E" w:rsidRPr="00656ABC" w:rsidTr="0004226B">
        <w:trPr>
          <w:jc w:val="center"/>
        </w:trPr>
        <w:tc>
          <w:tcPr>
            <w:tcW w:w="707" w:type="dxa"/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Foliar application in cultures of cotton (0.2mg/kg, safety security period of 28 days), rice (0.1mg/kg, safety security period of 70 days), sugarcane (0.1mg/kg, safety security period of 30 days), canola (0.2mg/kg, safety security period of 21 days), citrus (0.2mg/kg, safety security period of 30 days), pea</w:t>
            </w:r>
            <w:r>
              <w:t>s</w:t>
            </w:r>
            <w:r w:rsidRPr="00656ABC">
              <w:t xml:space="preserve"> (0.2mg/kg, safety security period of 21 days), cowpea (0.2mg/kg, safety security period of 21 days), tobacco (non-food use), </w:t>
            </w:r>
            <w:r>
              <w:t>s</w:t>
            </w:r>
            <w:r w:rsidRPr="00656ABC">
              <w:t>esame (0.2mg/kg, safety security period of 21</w:t>
            </w:r>
            <w:r>
              <w:t> </w:t>
            </w:r>
            <w:r w:rsidRPr="00656ABC">
              <w:t xml:space="preserve">days), sunflower (0.2mg/kg, safety security period of 21 days), chickpea (0.2mg/kg, safety security period of 21 days), lentil (0.2mg/kg, safety security period of 21 days), linseed (0.2mg/kg, safety security period of 21 days), corn (0.2mg/kg, safety security period of 60 days), soy (0.2mg/kg, safety security period of 21 days), tomato (0.5mg/kg, safety security period of 4 days), wheat (0.5mg/kg, safety security period of 30 days). </w:t>
            </w:r>
            <w:bookmarkEnd w:id="11"/>
          </w:p>
        </w:tc>
      </w:tr>
      <w:tr w:rsidR="0087611E" w:rsidRPr="00656ABC" w:rsidTr="0004226B">
        <w:trPr>
          <w:jc w:val="center"/>
        </w:trPr>
        <w:tc>
          <w:tcPr>
            <w:tcW w:w="707" w:type="dxa"/>
          </w:tcPr>
          <w:p w:rsidR="0087611E" w:rsidRPr="00656ABC" w:rsidRDefault="0087611E" w:rsidP="0004226B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87611E" w:rsidRPr="00656ABC" w:rsidRDefault="0087611E" w:rsidP="0004226B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87611E" w:rsidRPr="00656ABC" w:rsidRDefault="0087611E" w:rsidP="0004226B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87611E" w:rsidRPr="00656ABC" w:rsidRDefault="0087611E" w:rsidP="0004226B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87611E" w:rsidRPr="00656ABC" w:rsidTr="0004226B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D17 - DIFLUBENZURON of the monograph list of active ingredients for pesticides, household cleaning products and wood preservers, published by Resolution - RE N° 165 of 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87611E" w:rsidRPr="00656ABC" w:rsidRDefault="0087611E" w:rsidP="0004226B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"http://portal.anvisa.gov.br/wps/wcm/connect/9c076a8045aca4b0a1efafa9166895f7/Consulta+P%C3%BAblica+n%C2%B0+74+GGTOX+atual.pdf?MOD=AJPERES" </w:instrText>
            </w:r>
            <w:r>
              <w:fldChar w:fldCharType="separate"/>
            </w:r>
            <w:r w:rsidRPr="00251897">
              <w:rPr>
                <w:rStyle w:val="af3"/>
              </w:rPr>
              <w:t>http://portal.anvisa.gov.br/wps/wcm/connect/9c076a8045aca4b0a1efafa9166895f7/Consulta+P%C3%BAblica+n%C2%B0+74+GGTOX+at</w:t>
            </w:r>
            <w:r w:rsidRPr="00251897">
              <w:rPr>
                <w:rStyle w:val="af3"/>
              </w:rPr>
              <w:t>u</w:t>
            </w:r>
            <w:r w:rsidRPr="00251897">
              <w:rPr>
                <w:rStyle w:val="af3"/>
              </w:rPr>
              <w:t>al.pdf?MOD=AJPERES</w:t>
            </w:r>
            <w:bookmarkEnd w:id="19"/>
            <w:r>
              <w:fldChar w:fldCharType="end"/>
            </w:r>
          </w:p>
        </w:tc>
      </w:tr>
      <w:tr w:rsidR="0087611E" w:rsidRPr="00656ABC" w:rsidTr="0004226B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Foliar application in cultures of cotton (0.2mg/kg, safety security period of 28 days), rice (0.1mg/kg, safety security period of 70 days), s</w:t>
            </w:r>
            <w:r>
              <w:t>u</w:t>
            </w:r>
            <w:r w:rsidRPr="00656ABC">
              <w:t>garcane (0.1mg/kg, safety security period of 30 days), canola (0.2mg/kg, safety security period of 21 days), citrus (0.2mg/kg, safety security period of 30 days), pea</w:t>
            </w:r>
            <w:r>
              <w:t>s</w:t>
            </w:r>
            <w:r w:rsidRPr="00656ABC">
              <w:t xml:space="preserve"> (0.2mg/kg, safety security period of 21 days), cowpea (0.2mg/kg, safety security period of 21 days), tobacco (non-food use), sesame (0.2mg/kg, safety security period of 21</w:t>
            </w:r>
            <w:r>
              <w:t> </w:t>
            </w:r>
            <w:r w:rsidRPr="00656ABC">
              <w:t xml:space="preserve">days), sunflower (0.2mg/kg, safety security period of 21 days), chickpea (0.2mg/kg, safety security period of 21 days), lentil (0.2mg/kg, safety security period of 21 days), linseed (0.2mg/kg, safety security period of 21 days), corn (0.2mg/kg, safety security </w:t>
            </w:r>
            <w:r w:rsidRPr="00656ABC">
              <w:lastRenderedPageBreak/>
              <w:t xml:space="preserve">period of 60 days), soy (0.2mg/kg, safety security period of 21 days), tomato (0.5mg/kg, safety security period of 4 days), wheat (0.5mg/kg, safety security period of 30 days). </w:t>
            </w:r>
            <w:bookmarkEnd w:id="20"/>
          </w:p>
        </w:tc>
      </w:tr>
      <w:tr w:rsidR="0087611E" w:rsidRPr="00656ABC" w:rsidTr="0004226B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7611E" w:rsidRPr="00656ABC" w:rsidRDefault="0087611E" w:rsidP="0004226B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7611E" w:rsidRPr="00656ABC" w:rsidRDefault="0087611E" w:rsidP="0004226B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87611E" w:rsidRPr="00656ABC" w:rsidTr="0004226B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87611E" w:rsidRPr="00656ABC" w:rsidRDefault="0087611E" w:rsidP="0004226B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87611E" w:rsidRPr="00656ABC" w:rsidRDefault="0087611E" w:rsidP="0004226B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87611E" w:rsidRPr="00656ABC" w:rsidRDefault="0087611E" w:rsidP="0004226B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87611E" w:rsidRPr="00656ABC" w:rsidRDefault="0087611E" w:rsidP="0004226B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87611E" w:rsidRPr="00656ABC" w:rsidRDefault="0087611E" w:rsidP="0004226B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87611E" w:rsidRPr="00656ABC" w:rsidRDefault="0087611E" w:rsidP="0004226B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87611E" w:rsidRPr="00656ABC" w:rsidRDefault="0087611E" w:rsidP="0004226B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87611E" w:rsidRPr="00656ABC" w:rsidTr="0004226B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 Brazilian Official Journal (Diário Oficial da União), 1 October 2014, 189</w:t>
            </w:r>
            <w:r w:rsidRPr="00251897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53. Draft Resolution (Consulta Pública) number 74, 29 September 2014, issued by the Brazilian Health Surveillance Agency (ANVISA). When adopted, it will be published at the Brazilian Official Journal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Portuguese)</w:t>
            </w:r>
            <w:bookmarkEnd w:id="37"/>
            <w:r>
              <w:rPr>
                <w:bCs/>
              </w:rPr>
              <w:t>.</w:t>
            </w:r>
          </w:p>
        </w:tc>
      </w:tr>
      <w:tr w:rsidR="0087611E" w:rsidRPr="00656ABC" w:rsidTr="0004226B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 after the end of the consultation period.</w:t>
            </w:r>
            <w:bookmarkEnd w:id="38"/>
          </w:p>
          <w:p w:rsidR="0087611E" w:rsidRPr="00656ABC" w:rsidRDefault="0087611E" w:rsidP="0004226B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To be determined after the end of the consultation period.</w:t>
            </w:r>
            <w:bookmarkEnd w:id="39"/>
          </w:p>
        </w:tc>
      </w:tr>
      <w:tr w:rsidR="0087611E" w:rsidRPr="00656ABC" w:rsidTr="0004226B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To be determined after the end of the consultation period.</w:t>
            </w:r>
            <w:bookmarkEnd w:id="41"/>
          </w:p>
          <w:p w:rsidR="0087611E" w:rsidRPr="00656ABC" w:rsidRDefault="0087611E" w:rsidP="0004226B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87611E" w:rsidRPr="00251897" w:rsidTr="0004226B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30 October 2014</w:t>
            </w:r>
            <w:bookmarkEnd w:id="45"/>
          </w:p>
          <w:p w:rsidR="0087611E" w:rsidRDefault="0087611E" w:rsidP="0004226B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87611E" w:rsidRPr="00251897" w:rsidRDefault="0087611E" w:rsidP="0004226B">
            <w:pPr>
              <w:rPr>
                <w:lang w:val="es-ES"/>
              </w:rPr>
            </w:pPr>
            <w:r w:rsidRPr="00251897">
              <w:rPr>
                <w:lang w:val="es-ES"/>
              </w:rPr>
              <w:t>Ana Paula S. J. da Silveira e Silva</w:t>
            </w:r>
          </w:p>
          <w:p w:rsidR="0087611E" w:rsidRPr="00251897" w:rsidRDefault="0087611E" w:rsidP="0004226B">
            <w:pPr>
              <w:rPr>
                <w:lang w:val="es-ES"/>
              </w:rPr>
            </w:pPr>
            <w:r w:rsidRPr="00251897">
              <w:rPr>
                <w:lang w:val="es-ES"/>
              </w:rPr>
              <w:t>Tel: +(55 61) 3462 5402/5404/5406</w:t>
            </w:r>
          </w:p>
          <w:p w:rsidR="0087611E" w:rsidRPr="00251897" w:rsidRDefault="0087611E" w:rsidP="0004226B">
            <w:pPr>
              <w:spacing w:after="120"/>
              <w:rPr>
                <w:lang w:val="es-ES"/>
              </w:rPr>
            </w:pPr>
            <w:r w:rsidRPr="00251897">
              <w:rPr>
                <w:lang w:val="es-ES"/>
              </w:rPr>
              <w:t>E-mail: rel@anvisa.gov.br</w:t>
            </w:r>
            <w:bookmarkEnd w:id="48"/>
          </w:p>
        </w:tc>
      </w:tr>
      <w:tr w:rsidR="0087611E" w:rsidRPr="00251897" w:rsidTr="0004226B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7611E" w:rsidRPr="00656ABC" w:rsidRDefault="0087611E" w:rsidP="0004226B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7611E" w:rsidRDefault="0087611E" w:rsidP="0004226B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87611E" w:rsidRPr="00251897" w:rsidRDefault="0087611E" w:rsidP="0004226B">
            <w:pPr>
              <w:rPr>
                <w:b/>
                <w:lang w:val="es-ES"/>
              </w:rPr>
            </w:pPr>
            <w:r w:rsidRPr="00251897">
              <w:rPr>
                <w:bCs/>
                <w:lang w:val="es-ES"/>
              </w:rPr>
              <w:t>Ana Paula S. J. da Silveira e Silva</w:t>
            </w:r>
          </w:p>
          <w:p w:rsidR="0087611E" w:rsidRPr="00251897" w:rsidRDefault="0087611E" w:rsidP="0004226B">
            <w:pPr>
              <w:rPr>
                <w:bCs/>
                <w:lang w:val="es-ES"/>
              </w:rPr>
            </w:pPr>
            <w:r w:rsidRPr="00251897">
              <w:rPr>
                <w:bCs/>
                <w:lang w:val="es-ES"/>
              </w:rPr>
              <w:t>Tel: +(55 61) 3462 5402/5404/5406</w:t>
            </w:r>
          </w:p>
          <w:p w:rsidR="0087611E" w:rsidRPr="00251897" w:rsidRDefault="0087611E" w:rsidP="0004226B">
            <w:pPr>
              <w:spacing w:after="120"/>
              <w:rPr>
                <w:bCs/>
                <w:lang w:val="es-ES"/>
              </w:rPr>
            </w:pPr>
            <w:r w:rsidRPr="00251897">
              <w:rPr>
                <w:bCs/>
                <w:lang w:val="es-ES"/>
              </w:rPr>
              <w:t>E-mail: rel@anvisa.gov.br</w:t>
            </w:r>
            <w:bookmarkEnd w:id="51"/>
          </w:p>
        </w:tc>
      </w:tr>
    </w:tbl>
    <w:p w:rsidR="0087611E" w:rsidRPr="00251897" w:rsidRDefault="0087611E" w:rsidP="0087611E">
      <w:pPr>
        <w:rPr>
          <w:lang w:val="es-ES"/>
        </w:rPr>
      </w:pPr>
    </w:p>
    <w:p w:rsidR="0087611E" w:rsidRDefault="0087611E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87611E" w:rsidTr="0004226B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87611E" w:rsidTr="0004226B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87611E" w:rsidRDefault="0087611E" w:rsidP="0004226B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87611E" w:rsidRDefault="0087611E" w:rsidP="0004226B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G/SPS/N/BRA/982</w:t>
                  </w:r>
                </w:p>
                <w:p w:rsidR="0087611E" w:rsidRDefault="0087611E" w:rsidP="0004226B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2014-10-13</w:t>
                  </w:r>
                </w:p>
                <w:p w:rsidR="0087611E" w:rsidRDefault="0087611E" w:rsidP="0004226B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14-5802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87611E" w:rsidTr="0004226B">
              <w:trPr>
                <w:jc w:val="center"/>
              </w:trPr>
              <w:tc>
                <w:tcPr>
                  <w:tcW w:w="6160" w:type="dxa"/>
                </w:tcPr>
                <w:p w:rsidR="0087611E" w:rsidRDefault="0087611E" w:rsidP="0004226B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87611E" w:rsidRDefault="0087611E" w:rsidP="0004226B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87611E" w:rsidRDefault="0087611E" w:rsidP="0004226B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87611E" w:rsidRPr="0087611E" w:rsidRDefault="0087611E" w:rsidP="0087611E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898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548"/>
              <w:gridCol w:w="8439"/>
            </w:tblGrid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87611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通报成员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:</w:t>
                  </w:r>
                  <w:r w:rsidRPr="0087611E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巴西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87611E">
                    <w:rPr>
                      <w:rFonts w:ascii="Times New Roman" w:hAnsi="宋体"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适用时，列出涉及的地方政府名称</w:t>
                  </w:r>
                  <w:r w:rsidRPr="0087611E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2.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负责机构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巴西卫生监督局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-ANVISA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3.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所覆盖产品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提供在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WTO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备案的国家目录中指定的关税条目号；如可能，可另提供国际商品系统编号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(ICS))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叶施培植棉花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28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；稻米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(0.1mg/kg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70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；甘蔗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(0.1mg/kg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30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；油菜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；柑橘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30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；豌豆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；豇豆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；烟草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非食品用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；芝麻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；向日葵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；鹰嘴豆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 xml:space="preserve"> 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；小扁豆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；亚麻籽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；玉米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60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；大豆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；番茄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(0.5mg/kg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4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；小麦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(0.5mg/kg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30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4.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只要相关或可行，可能受影响的地区或国家：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[ </w:t>
                  </w:r>
                  <w:r w:rsidRPr="0087611E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X 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所有贸易伙伴，或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 [  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特定地区或国家：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5.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>通报文件的标题、语言及页数：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2003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年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8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月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29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日第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RE165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号决议公布的有关杀虫剂、家居消毒产品及木材防腐剂活性成分专项表活性成份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D17-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除虫脲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(Diflubenzuron)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的决议草案——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2003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年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9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月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2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日巴西官方公报</w:t>
                  </w:r>
                  <w:r>
                    <w:rPr>
                      <w:rFonts w:ascii="Times New Roman" w:eastAsiaTheme="minorEastAsia" w:hAnsi="宋体" w:hint="eastAsia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葡萄牙文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3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页</w:t>
                  </w:r>
                  <w:r w:rsidRPr="0087611E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http://portal.anvisa.gov.br/wps/wcm/connect/9c076a8045aca4b0a1efafa9166895f7/Consulta+P%C3%BAblica+n%C2%B0+74+GGTOX+atual.pdf?MOD=AJPERES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6.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内容简述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叶施培植棉花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28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；稻米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(0.1mg/kg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70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；甘蔗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(0.1mg/kg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30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；油菜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；柑橘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30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；豌豆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；豇豆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；烟草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非食品用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；芝麻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；向日葵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；鹰嘴豆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；小扁豆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；亚麻籽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；玉米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60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；大豆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(0.2mg/kg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21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；番茄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(0.5mg/kg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4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；小麦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(0.5mg/kg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；安全期：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30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天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87611E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7.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目标与理由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食品安全，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动物健康，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植物保护，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保护人类免受动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植物有害生物的危害，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保护国家免受有害生物的其它危害</w:t>
                  </w:r>
                  <w:r w:rsidRPr="008761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87611E">
                    <w:rPr>
                      <w:rFonts w:hAnsi="Times New Roman" w:hint="eastAsia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hAnsi="Times New Roman"/>
                      <w:szCs w:val="18"/>
                      <w:lang w:eastAsia="zh-CN"/>
                    </w:rPr>
                    <w:t>]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8.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是否有相关国际标准？如有，指出标准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:</w:t>
                  </w:r>
                </w:p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食品法典委员会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例如：食品法典委员会标准或相关文件的名称或序号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世界动物卫生组织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(OIE)(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例如：陆生或水生动物卫生法典，章节号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国际植物保护公约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ISPM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N</w:t>
                  </w:r>
                  <w:r w:rsidRPr="0087611E">
                    <w:rPr>
                      <w:rFonts w:ascii="Times New Roman" w:hAnsi="Times New Roman"/>
                      <w:b/>
                      <w:i/>
                      <w:snapToGrid w:val="0"/>
                      <w:szCs w:val="18"/>
                      <w:lang w:eastAsia="zh-CN"/>
                    </w:rPr>
                    <w:t>°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87611E" w:rsidRPr="0087611E" w:rsidRDefault="0087611E" w:rsidP="0087611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无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该法规草案是否符合相关国际标准？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是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否</w:t>
                  </w:r>
                </w:p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如不符，请尽量说明与国际标准不符之处与原因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9.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可提供的相关文件及文件语种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2014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10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1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日巴西官方公报第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189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期第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1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节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,53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页。巴西卫生监督局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(ANVISA)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发布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2014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9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29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日第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74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号决议草案。一经批准，将公布于巴西官方公报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提供葡萄牙文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。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10.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拟批准日期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87611E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评议期结束后再定</w:t>
                  </w:r>
                  <w:r w:rsidRPr="0087611E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  </w:t>
                  </w:r>
                </w:p>
                <w:p w:rsidR="0087611E" w:rsidRPr="0087611E" w:rsidRDefault="0087611E" w:rsidP="0004226B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拟公布日期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87611E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评议期结束后再定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ab/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11.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拟生效日期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</w:p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通报日后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6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个月，及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或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年月日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：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评议期结束后再定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87611E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</w:p>
                <w:p w:rsidR="0087611E" w:rsidRPr="0087611E" w:rsidRDefault="0087611E" w:rsidP="0004226B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贸易促进措施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   </w:t>
                  </w:r>
                </w:p>
              </w:tc>
            </w:tr>
            <w:tr w:rsidR="0087611E" w:rsidRPr="0087611E" w:rsidTr="0087611E">
              <w:trPr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12.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意见反馈截止日期：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通报发布日起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60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天，及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或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 :</w:t>
                  </w:r>
                  <w:r w:rsidRPr="0087611E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2014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10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30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日</w:t>
                  </w:r>
                </w:p>
                <w:p w:rsidR="0087611E" w:rsidRPr="0087611E" w:rsidRDefault="0087611E" w:rsidP="0087611E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负责处理反馈意见的机构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，或其他机构的联系地址、传真及电子邮件地址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87611E">
                    <w:rPr>
                      <w:rFonts w:ascii="Times New Roman" w:hAnsi="Times New Roman"/>
                      <w:szCs w:val="18"/>
                      <w:lang w:val="es-ES" w:eastAsia="zh-CN"/>
                    </w:rPr>
                    <w:br/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AnaPaulaS.J.daSilveiraeSilvaTel:+(5561)3462-5402/5404/5406E-mail:rel@anvisa.gov.br</w:t>
                  </w:r>
                </w:p>
              </w:tc>
            </w:tr>
            <w:tr w:rsidR="0087611E" w:rsidRPr="0087611E" w:rsidTr="0087611E">
              <w:trPr>
                <w:trHeight w:val="345"/>
                <w:jc w:val="center"/>
              </w:trPr>
              <w:tc>
                <w:tcPr>
                  <w:tcW w:w="548" w:type="dxa"/>
                </w:tcPr>
                <w:p w:rsidR="0087611E" w:rsidRPr="0087611E" w:rsidRDefault="0087611E" w:rsidP="0004226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13.</w:t>
                  </w:r>
                </w:p>
              </w:tc>
              <w:tc>
                <w:tcPr>
                  <w:tcW w:w="8439" w:type="dxa"/>
                </w:tcPr>
                <w:p w:rsidR="0087611E" w:rsidRPr="0087611E" w:rsidRDefault="0087611E" w:rsidP="0004226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文本可从以下机构得到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8761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8761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国家咨询点，或其它机构的联系地址、传真及电子邮件地址</w:t>
                  </w:r>
                  <w:r w:rsidRPr="0087611E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87611E">
                    <w:rPr>
                      <w:rFonts w:ascii="Times New Roman" w:hAnsi="Times New Roman"/>
                      <w:szCs w:val="18"/>
                      <w:lang w:eastAsia="zh-CN"/>
                    </w:rPr>
                    <w:t>AnaPaulaS.J.daSilveiraeSilvaTel:+(5561)3462-5402/5404/5406E-mail:rel@anvisa.gov.br</w:t>
                  </w:r>
                  <w:r w:rsidRPr="0087611E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</w:tbl>
          <w:p w:rsidR="0087611E" w:rsidRDefault="0087611E" w:rsidP="0004226B">
            <w:pPr>
              <w:rPr>
                <w:lang w:eastAsia="zh-CN"/>
              </w:rPr>
            </w:pPr>
          </w:p>
        </w:tc>
      </w:tr>
    </w:tbl>
    <w:p w:rsidR="00A16CCD" w:rsidRPr="0087611E" w:rsidRDefault="00A16CCD" w:rsidP="0087611E">
      <w:pPr>
        <w:rPr>
          <w:lang w:val="es-ES" w:eastAsia="zh-CN"/>
        </w:rPr>
      </w:pPr>
    </w:p>
    <w:sectPr w:rsidR="00A16CCD" w:rsidRPr="0087611E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16C" w:rsidRDefault="002A116C" w:rsidP="00A16CCD">
      <w:r>
        <w:separator/>
      </w:r>
    </w:p>
  </w:endnote>
  <w:endnote w:type="continuationSeparator" w:id="1">
    <w:p w:rsidR="002A116C" w:rsidRDefault="002A116C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16C" w:rsidRDefault="002A116C" w:rsidP="00A16CCD">
      <w:r>
        <w:separator/>
      </w:r>
    </w:p>
  </w:footnote>
  <w:footnote w:type="continuationSeparator" w:id="1">
    <w:p w:rsidR="002A116C" w:rsidRDefault="002A116C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FE5A84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2E6EE8" w:tentative="1">
      <w:start w:val="1"/>
      <w:numFmt w:val="lowerLetter"/>
      <w:lvlText w:val="%2."/>
      <w:lvlJc w:val="left"/>
      <w:pPr>
        <w:ind w:left="1080" w:hanging="360"/>
      </w:pPr>
    </w:lvl>
    <w:lvl w:ilvl="2" w:tplc="4FD2C344" w:tentative="1">
      <w:start w:val="1"/>
      <w:numFmt w:val="lowerRoman"/>
      <w:lvlText w:val="%3."/>
      <w:lvlJc w:val="right"/>
      <w:pPr>
        <w:ind w:left="1800" w:hanging="180"/>
      </w:pPr>
    </w:lvl>
    <w:lvl w:ilvl="3" w:tplc="A960619A" w:tentative="1">
      <w:start w:val="1"/>
      <w:numFmt w:val="decimal"/>
      <w:lvlText w:val="%4."/>
      <w:lvlJc w:val="left"/>
      <w:pPr>
        <w:ind w:left="2520" w:hanging="360"/>
      </w:pPr>
    </w:lvl>
    <w:lvl w:ilvl="4" w:tplc="B85043BA" w:tentative="1">
      <w:start w:val="1"/>
      <w:numFmt w:val="lowerLetter"/>
      <w:lvlText w:val="%5."/>
      <w:lvlJc w:val="left"/>
      <w:pPr>
        <w:ind w:left="3240" w:hanging="360"/>
      </w:pPr>
    </w:lvl>
    <w:lvl w:ilvl="5" w:tplc="9042DBB4" w:tentative="1">
      <w:start w:val="1"/>
      <w:numFmt w:val="lowerRoman"/>
      <w:lvlText w:val="%6."/>
      <w:lvlJc w:val="right"/>
      <w:pPr>
        <w:ind w:left="3960" w:hanging="180"/>
      </w:pPr>
    </w:lvl>
    <w:lvl w:ilvl="6" w:tplc="16923256" w:tentative="1">
      <w:start w:val="1"/>
      <w:numFmt w:val="decimal"/>
      <w:lvlText w:val="%7."/>
      <w:lvlJc w:val="left"/>
      <w:pPr>
        <w:ind w:left="4680" w:hanging="360"/>
      </w:pPr>
    </w:lvl>
    <w:lvl w:ilvl="7" w:tplc="8368CC88" w:tentative="1">
      <w:start w:val="1"/>
      <w:numFmt w:val="lowerLetter"/>
      <w:lvlText w:val="%8."/>
      <w:lvlJc w:val="left"/>
      <w:pPr>
        <w:ind w:left="5400" w:hanging="360"/>
      </w:pPr>
    </w:lvl>
    <w:lvl w:ilvl="8" w:tplc="FC5AA5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16C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7611E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51BF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1134</Words>
  <Characters>6464</Characters>
  <Application>Microsoft Office Word</Application>
  <DocSecurity>0</DocSecurity>
  <Lines>53</Lines>
  <Paragraphs>15</Paragraphs>
  <ScaleCrop>false</ScaleCrop>
  <LinksUpToDate>false</LinksUpToDate>
  <CharactersWithSpaces>7583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