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801BAE" w:rsidRPr="00EA4725" w:rsidTr="00B76AB6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1BAE" w:rsidRPr="00EA4725" w:rsidRDefault="00801BAE" w:rsidP="00B76AB6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1BAE" w:rsidRPr="00EA4725" w:rsidRDefault="00801BAE" w:rsidP="00B76AB6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801BAE" w:rsidRPr="00EA4725" w:rsidTr="00B76AB6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801BAE" w:rsidRPr="00EA4725" w:rsidRDefault="00801BAE" w:rsidP="00B76AB6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801BAE" w:rsidRPr="00EA4725" w:rsidRDefault="00801BAE" w:rsidP="00B76AB6">
            <w:pPr>
              <w:jc w:val="right"/>
              <w:rPr>
                <w:b/>
                <w:szCs w:val="16"/>
              </w:rPr>
            </w:pPr>
          </w:p>
        </w:tc>
      </w:tr>
      <w:tr w:rsidR="00801BAE" w:rsidRPr="00EA4725" w:rsidTr="00B76AB6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801BAE" w:rsidRPr="00EA4725" w:rsidRDefault="00801BAE" w:rsidP="00B76AB6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801BAE" w:rsidRDefault="00801BAE" w:rsidP="00B76AB6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G/SPS/N/BRA/986</w:t>
            </w:r>
          </w:p>
          <w:bookmarkEnd w:id="1"/>
          <w:p w:rsidR="00801BAE" w:rsidRPr="00EA4725" w:rsidRDefault="00801BAE" w:rsidP="00B76AB6">
            <w:pPr>
              <w:jc w:val="right"/>
              <w:rPr>
                <w:b/>
                <w:szCs w:val="16"/>
              </w:rPr>
            </w:pPr>
          </w:p>
        </w:tc>
      </w:tr>
      <w:tr w:rsidR="00801BAE" w:rsidRPr="00EA4725" w:rsidTr="00B76AB6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1BAE" w:rsidRPr="00EA4725" w:rsidRDefault="00801BAE" w:rsidP="00B76AB6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1BAE" w:rsidRPr="00EA4725" w:rsidRDefault="00801BAE" w:rsidP="00B76AB6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 xml:space="preserve">13 October 2014 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801BAE" w:rsidRPr="00EA4725" w:rsidTr="00B76AB6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801BAE" w:rsidRPr="00EA4725" w:rsidRDefault="00801BAE" w:rsidP="00B76AB6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14-5806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801BAE" w:rsidRPr="00EA4725" w:rsidRDefault="00801BAE" w:rsidP="00B76AB6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3</w:t>
              </w:r>
            </w:fldSimple>
            <w:bookmarkEnd w:id="5"/>
          </w:p>
        </w:tc>
      </w:tr>
      <w:tr w:rsidR="00801BAE" w:rsidRPr="00EA4725" w:rsidTr="00B76AB6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801BAE" w:rsidRPr="00EA4725" w:rsidRDefault="00801BAE" w:rsidP="00B76AB6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801BAE" w:rsidRPr="00EA4725" w:rsidRDefault="00801BAE" w:rsidP="00B76AB6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 xml:space="preserve">Original: </w:t>
            </w:r>
            <w:bookmarkEnd w:id="7"/>
            <w:r>
              <w:rPr>
                <w:bCs/>
                <w:szCs w:val="18"/>
              </w:rPr>
              <w:t>English</w:t>
            </w:r>
          </w:p>
        </w:tc>
      </w:tr>
    </w:tbl>
    <w:p w:rsidR="00801BAE" w:rsidRPr="00656ABC" w:rsidRDefault="00801BAE" w:rsidP="00801BAE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801BAE" w:rsidRPr="00656ABC" w:rsidTr="00B76AB6">
        <w:trPr>
          <w:jc w:val="center"/>
        </w:trPr>
        <w:tc>
          <w:tcPr>
            <w:tcW w:w="707" w:type="dxa"/>
          </w:tcPr>
          <w:p w:rsidR="00801BAE" w:rsidRPr="00656ABC" w:rsidRDefault="00801BAE" w:rsidP="00801BAE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801BAE" w:rsidRPr="00656ABC" w:rsidRDefault="00801BAE" w:rsidP="00801BAE"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Brazil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801BAE" w:rsidRPr="00656ABC" w:rsidRDefault="00801BAE" w:rsidP="00801BAE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801BAE" w:rsidRPr="00656ABC" w:rsidTr="00B76AB6">
        <w:trPr>
          <w:jc w:val="center"/>
        </w:trPr>
        <w:tc>
          <w:tcPr>
            <w:tcW w:w="707" w:type="dxa"/>
          </w:tcPr>
          <w:p w:rsidR="00801BAE" w:rsidRPr="00656ABC" w:rsidRDefault="00801BAE" w:rsidP="00801BAE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801BAE" w:rsidRPr="00656ABC" w:rsidRDefault="00801BAE" w:rsidP="00801BAE"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ANVISA - The Brazilian Health Surveillance Agency</w:t>
            </w:r>
            <w:bookmarkEnd w:id="10"/>
          </w:p>
        </w:tc>
      </w:tr>
      <w:tr w:rsidR="00801BAE" w:rsidRPr="00656ABC" w:rsidTr="00B76AB6">
        <w:trPr>
          <w:jc w:val="center"/>
        </w:trPr>
        <w:tc>
          <w:tcPr>
            <w:tcW w:w="707" w:type="dxa"/>
          </w:tcPr>
          <w:p w:rsidR="00801BAE" w:rsidRPr="00656ABC" w:rsidRDefault="00801BAE" w:rsidP="00801BAE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801BAE" w:rsidRPr="00656ABC" w:rsidRDefault="00801BAE" w:rsidP="00801BAE"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Post-emergency application in cultures of lettuce (0.05mg/kg, safety security period of 7 days), cotton (0.5mg/kg, safety security period of 28 days), cotton (0.5mg/kg, the safety security period to the culture of the genetically modified cotton, which manifests resistance to the glufosinate, is of 116</w:t>
            </w:r>
            <w:r>
              <w:t> </w:t>
            </w:r>
            <w:r w:rsidRPr="00656ABC">
              <w:t>days, when the pesticide is applied in post-emergency of culture and weeds), banana (0.05mg/kg, safety security period of 10 days), potato (0.05mg/kg, safety security period of 10 days), coffee (0.05mg/kg, safety security period of 20 days), citrus (0.05mg/kg, safety security period of 40 days), eucalyptus (non-food use), apple (0.05mg/kg, safety security period of 7 days), corn (0.05mg/kg, safety security period not determined due to the mode of use, corn (0.05mg/kg, the safety security period to the culture of genetically modified corn, which manifests resistance to the glufosinate, is of 50 days, when the pesticide is applied in post-emergency of culture and weeds), nectarine (0.05mg/kg safety security period of 7 days), peach (0.05mg/kg, safety security period of 7 days), cabbage (0.05mg/kg, safety security period of 7 days), soy (0.05mg/kg, safety security period of 10 days), wheat (0.5mg/kg, safety security period not determined due to the mode of use), grape (0.05mg/kg, safety security period of 7</w:t>
            </w:r>
            <w:r>
              <w:t> </w:t>
            </w:r>
            <w:r w:rsidRPr="00656ABC">
              <w:t>days. Desiccant application in cultures of cotton (0.5mg/kg, safety security period of 28 days), potato (0.05mg/kg, safety security period of 10 days), bean (0.05mg/kg, safety security period of 5 days), soy (0.05mg/kg, safety security period of 10 days), wheat (0.5mg/kg, safety security period of 15 days).</w:t>
            </w:r>
            <w:bookmarkEnd w:id="11"/>
          </w:p>
        </w:tc>
      </w:tr>
      <w:tr w:rsidR="00801BAE" w:rsidRPr="00656ABC" w:rsidTr="00B76AB6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801BAE" w:rsidRPr="00656ABC" w:rsidRDefault="00801BAE" w:rsidP="00801BAE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801BAE" w:rsidRPr="00656ABC" w:rsidRDefault="00801BAE" w:rsidP="00801BAE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801BAE" w:rsidRPr="00656ABC" w:rsidRDefault="00801BAE" w:rsidP="00801BAE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801BAE" w:rsidRPr="00656ABC" w:rsidRDefault="00801BAE" w:rsidP="00801BAE">
            <w:pPr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801BAE" w:rsidRPr="00656ABC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01BAE" w:rsidRPr="00656ABC" w:rsidRDefault="00801BAE" w:rsidP="00801BAE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01BAE" w:rsidRPr="00656ABC" w:rsidRDefault="00801BAE" w:rsidP="00801BAE"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Draft resolution regarding the active ingredient G05 - GLUFOSINATE of the monograph list of active ingredients for pesticides, household cleaning products and wood preservers, published by Resolution - RE N° 165 of 29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August 2003, Brazilian Official Gazette (DOU Diário Oficial da União) of 2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September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2003.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Portuguese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4</w:t>
            </w:r>
            <w:bookmarkEnd w:id="18"/>
          </w:p>
          <w:bookmarkStart w:id="19" w:name="sps5d"/>
          <w:p w:rsidR="00801BAE" w:rsidRPr="00656ABC" w:rsidRDefault="00801BAE" w:rsidP="00801BAE">
            <w:pPr>
              <w:pStyle w:val="ab"/>
              <w:tabs>
                <w:tab w:val="clear" w:pos="4513"/>
                <w:tab w:val="clear" w:pos="9027"/>
              </w:tabs>
            </w:pPr>
            <w:r>
              <w:fldChar w:fldCharType="begin"/>
            </w:r>
            <w:r>
              <w:instrText xml:space="preserve"> HYPERLINK "http://portal.anvisa.gov.br/wps/wcm/connect/fc7f1b8045af7ee5a533afa9166895f7/Consulta+P%C3%BAblica+n%C2%B0+82+GGTOX+atual+1.pdf?MOD=AJPERES" </w:instrText>
            </w:r>
            <w:r>
              <w:fldChar w:fldCharType="separate"/>
            </w:r>
            <w:r w:rsidRPr="00DC5490">
              <w:rPr>
                <w:rStyle w:val="af3"/>
              </w:rPr>
              <w:t>http://portal.anvisa.gov.br/wps/wcm/connect/fc7f1b8045af7ee5a533afa9166895f7/Consulta+P%C3%BAblica+n%C2%B0+82+GGTOX+atual+1.pdf?MOD=AJPERES</w:t>
            </w:r>
            <w:bookmarkEnd w:id="19"/>
            <w:r>
              <w:fldChar w:fldCharType="end"/>
            </w:r>
          </w:p>
        </w:tc>
      </w:tr>
      <w:tr w:rsidR="00801BAE" w:rsidRPr="00656ABC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801BAE" w:rsidRPr="00656ABC" w:rsidRDefault="00801BAE" w:rsidP="00801BAE">
            <w:pPr>
              <w:keepNext/>
              <w:keepLines/>
              <w:jc w:val="left"/>
            </w:pPr>
            <w:r w:rsidRPr="00656ABC">
              <w:rPr>
                <w:b/>
              </w:rPr>
              <w:lastRenderedPageBreak/>
              <w:t>6.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801BAE" w:rsidRPr="00656ABC" w:rsidRDefault="00801BAE" w:rsidP="00801BAE">
            <w:pPr>
              <w:keepNext/>
              <w:keepLines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Post-emergency application in cultures of lettuce (0.05mg/kg, safety security period of 7 days), cotton (0.5mg/kg, safety security period of 28 days), cotton (0.5mg/kg, the safety security period to the culture of the genetically modified cotton, which manifests resistance to the glufosinate, is of 116 days, when the pesticide is applied in post-emergency of culture and weeds), banana (0.05mg/kg, safety security period of 10 days), potato (0.05mg/kg, safety security period of 10 days), coffee (0.05mg/kg, safety security period of 20 days), citrus (0.05mg/kg, safety security period of 40 days), eucalyptus (non-food use), apple (0.05mg/kg, safety security period of 7 days), corn (0.05mg/kg, safety security period not determined due to the mode of use), corn (0.05mg/kg, the safety security period to the culture of genetically modified corn, which manifests resistance to the glufosinate, is of 50 days, when the pesticide is applied in post-emergency of culture and weeds), nectarine (0.05mg/kg safety security period of 7 days), peach (0.05mg/kg, safety security period of 7 days), cabbage (0.05mg/kg, safety security period of 7 days), soy (0.05mg/kg, safety security period of 10 days), wheat (0.5mg/kg, safety security period not determined due to the mode of use), grape (0.05mg/kg, safety security period of 7 days). Desiccant application in cultures of cotton (0.5mg/kg, safety security period of 28 days), potato (0.05mg/kg, safety security period of 10 days), bean (0.05mg/kg, safety security period of 5 days), soy (0.05mg/kg, safety security period of 10 days), wheat (0.5mg/kg, safety security period of 15 days).</w:t>
            </w:r>
            <w:bookmarkEnd w:id="20"/>
          </w:p>
        </w:tc>
      </w:tr>
      <w:tr w:rsidR="00801BAE" w:rsidRPr="00656ABC" w:rsidTr="00B76AB6">
        <w:trPr>
          <w:jc w:val="center"/>
        </w:trPr>
        <w:tc>
          <w:tcPr>
            <w:tcW w:w="707" w:type="dxa"/>
          </w:tcPr>
          <w:p w:rsidR="00801BAE" w:rsidRPr="00656ABC" w:rsidRDefault="00801BAE" w:rsidP="00801BAE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801BAE" w:rsidRPr="00656ABC" w:rsidRDefault="00801BAE" w:rsidP="00801BAE"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r>
              <w:rPr>
                <w:b/>
              </w:rPr>
              <w:t> </w:t>
            </w:r>
            <w:r w:rsidRPr="00656ABC">
              <w:rPr>
                <w:b/>
              </w:rPr>
              <w:t>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801BAE" w:rsidRPr="00656ABC" w:rsidTr="00B76AB6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801BAE" w:rsidRPr="00656ABC" w:rsidRDefault="00801BAE" w:rsidP="00801BAE">
            <w:pPr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801BAE" w:rsidRPr="00656ABC" w:rsidRDefault="00801BAE" w:rsidP="00801BAE">
            <w:r w:rsidRPr="00656ABC">
              <w:rPr>
                <w:b/>
              </w:rPr>
              <w:t>Is there a relevant international standard? If so, identify the standard:</w:t>
            </w:r>
          </w:p>
          <w:p w:rsidR="00801BAE" w:rsidRPr="00656ABC" w:rsidRDefault="00801BAE" w:rsidP="00801BAE">
            <w:pPr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 xml:space="preserve"> 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7" w:name="sps8atext"/>
            <w:r w:rsidRPr="00656ABC">
              <w:t xml:space="preserve"> </w:t>
            </w:r>
            <w:bookmarkEnd w:id="27"/>
          </w:p>
          <w:p w:rsidR="00801BAE" w:rsidRPr="00656ABC" w:rsidRDefault="00801BAE" w:rsidP="00801BAE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:rsidR="00801BAE" w:rsidRPr="00656ABC" w:rsidRDefault="00801BAE" w:rsidP="00801BAE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:rsidR="00801BAE" w:rsidRPr="00656ABC" w:rsidRDefault="00801BAE" w:rsidP="00801BAE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d"/>
            <w:r w:rsidRPr="00656ABC">
              <w:rPr>
                <w:b/>
              </w:rPr>
              <w:t>X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801BAE" w:rsidRPr="00656ABC" w:rsidRDefault="00801BAE" w:rsidP="00801BAE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801BAE" w:rsidRPr="00656ABC" w:rsidRDefault="00801BAE" w:rsidP="00801BAE">
            <w:pPr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ey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Yes   [</w:t>
            </w:r>
            <w:bookmarkStart w:id="34" w:name="sps8en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No</w:t>
            </w:r>
          </w:p>
          <w:p w:rsidR="00801BAE" w:rsidRPr="00656ABC" w:rsidRDefault="00801BAE" w:rsidP="00801BAE">
            <w:pPr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5" w:name="sps8e"/>
            <w:r w:rsidRPr="00656ABC">
              <w:t xml:space="preserve"> </w:t>
            </w:r>
            <w:bookmarkEnd w:id="35"/>
          </w:p>
        </w:tc>
      </w:tr>
      <w:tr w:rsidR="00801BAE" w:rsidRPr="00656ABC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01BAE" w:rsidRPr="00656ABC" w:rsidRDefault="00801BAE" w:rsidP="00801BAE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01BAE" w:rsidRPr="00656ABC" w:rsidRDefault="00801BAE" w:rsidP="00801BAE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 w:rsidRPr="00656ABC">
              <w:t>The Brazilian Official Journal (Diário Oficial da União), 1 October 2014, 189</w:t>
            </w:r>
            <w:r w:rsidRPr="007A25E2">
              <w:rPr>
                <w:vertAlign w:val="superscript"/>
              </w:rPr>
              <w:t>th</w:t>
            </w:r>
            <w:r w:rsidRPr="00656ABC">
              <w:t xml:space="preserve"> edition, Section</w:t>
            </w:r>
            <w:r>
              <w:t> </w:t>
            </w:r>
            <w:r w:rsidRPr="00656ABC">
              <w:t>1, p. 54. Draft Resolution (Consulta Pública) number 82, 29 September 2014, issued by the Brazilian Health Surveillance Agency (ANVISA). When adopted, it will be published at the Brazilian Official Journal</w:t>
            </w:r>
            <w:bookmarkEnd w:id="36"/>
            <w:r w:rsidRPr="00656ABC">
              <w:rPr>
                <w:bCs/>
              </w:rPr>
              <w:t xml:space="preserve"> </w:t>
            </w:r>
            <w:bookmarkStart w:id="37" w:name="sps9b"/>
            <w:r w:rsidRPr="00656ABC">
              <w:rPr>
                <w:bCs/>
              </w:rPr>
              <w:t>(available in Portuguese)</w:t>
            </w:r>
            <w:bookmarkEnd w:id="37"/>
            <w:r>
              <w:rPr>
                <w:bCs/>
              </w:rPr>
              <w:t>.</w:t>
            </w:r>
          </w:p>
        </w:tc>
      </w:tr>
      <w:tr w:rsidR="00801BAE" w:rsidRPr="00656ABC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01BAE" w:rsidRPr="00656ABC" w:rsidRDefault="00801BAE" w:rsidP="00801BAE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01BAE" w:rsidRPr="00656ABC" w:rsidRDefault="00801BAE" w:rsidP="00801BAE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a"/>
            <w:r w:rsidRPr="00656ABC">
              <w:t>To be determined after the end of the consultation period.</w:t>
            </w:r>
            <w:bookmarkEnd w:id="38"/>
          </w:p>
          <w:p w:rsidR="00801BAE" w:rsidRPr="00656ABC" w:rsidRDefault="00801BAE" w:rsidP="00801BAE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bisa"/>
            <w:r w:rsidRPr="00656ABC">
              <w:t>To be determined after the end of the consultation period.</w:t>
            </w:r>
            <w:bookmarkEnd w:id="39"/>
          </w:p>
        </w:tc>
      </w:tr>
      <w:tr w:rsidR="00801BAE" w:rsidRPr="00656ABC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01BAE" w:rsidRPr="00656ABC" w:rsidRDefault="00801BAE" w:rsidP="00801BAE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01BAE" w:rsidRPr="00656ABC" w:rsidRDefault="00801BAE" w:rsidP="00801BAE">
            <w:r w:rsidRPr="00656ABC">
              <w:rPr>
                <w:b/>
              </w:rPr>
              <w:t>Proposed date of entry into force: [</w:t>
            </w:r>
            <w:bookmarkStart w:id="40" w:name="sps11c"/>
            <w:r w:rsidRPr="00656ABC">
              <w:rPr>
                <w:b/>
              </w:rPr>
              <w:t xml:space="preserve"> </w:t>
            </w:r>
            <w:bookmarkEnd w:id="40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1" w:name="sps11a"/>
            <w:r w:rsidRPr="00656ABC">
              <w:t>To be determined after the end of the consultation period.</w:t>
            </w:r>
            <w:bookmarkEnd w:id="41"/>
          </w:p>
          <w:p w:rsidR="00801BAE" w:rsidRPr="00656ABC" w:rsidRDefault="00801BAE" w:rsidP="00801BAE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2" w:name="sps11e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3" w:name="sps11ebis"/>
            <w:r w:rsidRPr="00656ABC">
              <w:t xml:space="preserve"> </w:t>
            </w:r>
            <w:bookmarkEnd w:id="43"/>
          </w:p>
        </w:tc>
      </w:tr>
      <w:tr w:rsidR="00801BAE" w:rsidRPr="00DC5490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01BAE" w:rsidRPr="00656ABC" w:rsidRDefault="00801BAE" w:rsidP="00801BAE">
            <w:pPr>
              <w:keepNext/>
              <w:keepLines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01BAE" w:rsidRPr="00656ABC" w:rsidRDefault="00801BAE" w:rsidP="00801BAE">
            <w:pPr>
              <w:keepNext/>
              <w:keepLines/>
            </w:pPr>
            <w:r w:rsidRPr="00656ABC">
              <w:rPr>
                <w:b/>
              </w:rPr>
              <w:t>Final date for comments: [</w:t>
            </w:r>
            <w:bookmarkStart w:id="44" w:name="sps12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5" w:name="sps12a"/>
            <w:r w:rsidRPr="00656ABC">
              <w:t>30 October 2014</w:t>
            </w:r>
            <w:bookmarkEnd w:id="45"/>
          </w:p>
          <w:p w:rsidR="00801BAE" w:rsidRDefault="00801BAE" w:rsidP="00801BAE">
            <w:pPr>
              <w:keepNext/>
              <w:keepLines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6" w:name="sps12b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 National Notification Authority, [</w:t>
            </w:r>
            <w:bookmarkStart w:id="47" w:name="sps12c"/>
            <w:r w:rsidRPr="00656ABC">
              <w:rPr>
                <w:b/>
              </w:rPr>
              <w:t>X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8" w:name="sps12d"/>
          </w:p>
          <w:p w:rsidR="00801BAE" w:rsidRPr="00DC5490" w:rsidRDefault="00801BAE" w:rsidP="00801BAE">
            <w:pPr>
              <w:keepNext/>
              <w:keepLines/>
              <w:rPr>
                <w:lang w:val="es-ES"/>
              </w:rPr>
            </w:pPr>
            <w:r w:rsidRPr="00DC5490">
              <w:rPr>
                <w:lang w:val="es-ES"/>
              </w:rPr>
              <w:t>Ana Paula S. J. da Silveira e Silva</w:t>
            </w:r>
          </w:p>
          <w:p w:rsidR="00801BAE" w:rsidRPr="00DC5490" w:rsidRDefault="00801BAE" w:rsidP="00801BAE">
            <w:pPr>
              <w:keepNext/>
              <w:keepLines/>
              <w:rPr>
                <w:lang w:val="es-ES"/>
              </w:rPr>
            </w:pPr>
            <w:r w:rsidRPr="00DC5490">
              <w:rPr>
                <w:lang w:val="es-ES"/>
              </w:rPr>
              <w:t>Tel: +(55 61) 3462 5402/5404/5406</w:t>
            </w:r>
          </w:p>
          <w:p w:rsidR="00801BAE" w:rsidRPr="00DC5490" w:rsidRDefault="00801BAE" w:rsidP="00801BAE">
            <w:pPr>
              <w:keepNext/>
              <w:keepLines/>
              <w:rPr>
                <w:lang w:val="es-ES"/>
              </w:rPr>
            </w:pPr>
            <w:r w:rsidRPr="00DC5490">
              <w:rPr>
                <w:lang w:val="es-ES"/>
              </w:rPr>
              <w:t>E-mail: rel@anvisa.gov.br</w:t>
            </w:r>
            <w:bookmarkEnd w:id="48"/>
          </w:p>
        </w:tc>
      </w:tr>
      <w:tr w:rsidR="00801BAE" w:rsidRPr="00DC5490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801BAE" w:rsidRPr="00656ABC" w:rsidRDefault="00801BAE" w:rsidP="00801BAE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801BAE" w:rsidRDefault="00801BAE" w:rsidP="00801BAE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9" w:name="sps13a"/>
            <w:r w:rsidRPr="00656ABC">
              <w:rPr>
                <w:b/>
              </w:rPr>
              <w:t xml:space="preserve"> </w:t>
            </w:r>
            <w:bookmarkEnd w:id="49"/>
            <w:r w:rsidRPr="00656ABC">
              <w:rPr>
                <w:b/>
              </w:rPr>
              <w:t>] National Notification Authority, [</w:t>
            </w:r>
            <w:bookmarkStart w:id="50" w:name="sps13b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1" w:name="sps13c"/>
          </w:p>
          <w:p w:rsidR="00801BAE" w:rsidRPr="00DC5490" w:rsidRDefault="00801BAE" w:rsidP="00801BAE">
            <w:pPr>
              <w:rPr>
                <w:b/>
                <w:lang w:val="es-ES"/>
              </w:rPr>
            </w:pPr>
            <w:r w:rsidRPr="00DC5490">
              <w:rPr>
                <w:bCs/>
                <w:lang w:val="es-ES"/>
              </w:rPr>
              <w:t>Ana Paula S. J. da Silveira e Silva</w:t>
            </w:r>
          </w:p>
          <w:p w:rsidR="00801BAE" w:rsidRPr="00DC5490" w:rsidRDefault="00801BAE" w:rsidP="00801BAE">
            <w:pPr>
              <w:rPr>
                <w:bCs/>
                <w:lang w:val="es-ES"/>
              </w:rPr>
            </w:pPr>
            <w:r w:rsidRPr="00DC5490">
              <w:rPr>
                <w:bCs/>
                <w:lang w:val="es-ES"/>
              </w:rPr>
              <w:t>Tel: +(55 61) 3462 5402/5404/5406</w:t>
            </w:r>
          </w:p>
          <w:p w:rsidR="00801BAE" w:rsidRPr="00DC5490" w:rsidRDefault="00801BAE" w:rsidP="00801BAE">
            <w:pPr>
              <w:rPr>
                <w:bCs/>
                <w:lang w:val="es-ES"/>
              </w:rPr>
            </w:pPr>
            <w:r w:rsidRPr="00DC5490">
              <w:rPr>
                <w:bCs/>
                <w:lang w:val="es-ES"/>
              </w:rPr>
              <w:t>E-mail: rel@anvisa.gov.br</w:t>
            </w:r>
            <w:bookmarkEnd w:id="51"/>
          </w:p>
        </w:tc>
      </w:tr>
    </w:tbl>
    <w:p w:rsidR="00801BAE" w:rsidRDefault="00801BAE" w:rsidP="00801BAE">
      <w:pPr>
        <w:rPr>
          <w:lang w:val="es-ES"/>
        </w:rPr>
      </w:pP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801BAE" w:rsidTr="00B76AB6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801BAE" w:rsidTr="00B76AB6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801BAE" w:rsidRDefault="00801BAE" w:rsidP="00B76AB6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801BAE" w:rsidRDefault="00801BAE" w:rsidP="00B76AB6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G/SPS/N/BRA/986</w:t>
                  </w:r>
                </w:p>
                <w:p w:rsidR="00801BAE" w:rsidRDefault="00801BAE" w:rsidP="00B76AB6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2014-10-13</w:t>
                  </w:r>
                </w:p>
                <w:p w:rsidR="00801BAE" w:rsidRDefault="00801BAE" w:rsidP="00B76AB6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14-5806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801BAE" w:rsidTr="00B76AB6">
              <w:trPr>
                <w:jc w:val="center"/>
              </w:trPr>
              <w:tc>
                <w:tcPr>
                  <w:tcW w:w="6160" w:type="dxa"/>
                </w:tcPr>
                <w:p w:rsidR="00801BAE" w:rsidRDefault="00801BAE" w:rsidP="00B76AB6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801BAE" w:rsidRDefault="00801BAE" w:rsidP="00B76AB6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801BAE" w:rsidRDefault="00801BAE" w:rsidP="00B76AB6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801BAE" w:rsidRDefault="00801BAE" w:rsidP="00B76AB6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801BAE" w:rsidRDefault="00801BAE" w:rsidP="00B76AB6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801BAE" w:rsidRDefault="00801BAE" w:rsidP="00B76AB6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801BAE" w:rsidRDefault="00801BAE" w:rsidP="00B76AB6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801BAE" w:rsidTr="00B76AB6">
              <w:trPr>
                <w:jc w:val="center"/>
              </w:trPr>
              <w:tc>
                <w:tcPr>
                  <w:tcW w:w="697" w:type="dxa"/>
                </w:tcPr>
                <w:p w:rsidR="00801BAE" w:rsidRDefault="00801BAE" w:rsidP="00B76AB6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巴西</w:t>
                  </w:r>
                </w:p>
                <w:p w:rsidR="00801BAE" w:rsidRDefault="00801BAE" w:rsidP="00B76AB6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801BAE" w:rsidTr="00B76AB6">
              <w:trPr>
                <w:jc w:val="center"/>
              </w:trPr>
              <w:tc>
                <w:tcPr>
                  <w:tcW w:w="697" w:type="dxa"/>
                </w:tcPr>
                <w:p w:rsidR="00801BAE" w:rsidRDefault="00801BAE" w:rsidP="00B76AB6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巴西卫生监督局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-ANVISA</w:t>
                  </w:r>
                </w:p>
              </w:tc>
            </w:tr>
            <w:tr w:rsidR="00801BAE" w:rsidTr="00B76AB6">
              <w:trPr>
                <w:jc w:val="center"/>
              </w:trPr>
              <w:tc>
                <w:tcPr>
                  <w:tcW w:w="697" w:type="dxa"/>
                </w:tcPr>
                <w:p w:rsidR="00801BAE" w:rsidRDefault="00801BAE" w:rsidP="00B76AB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出苗后施用培植莴苣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(0.5mg/kg,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当杀虫剂用于出苗后培植施用和野草时，对草甘膦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(Glyphosate)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有抗药性的转基因棉花培植安全期为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116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；香蕉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；柑橘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；桉树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；苹果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(0.05mg/kg,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；当杀虫剂用于出苗后培植施用和野草时，对草甘膦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(Glyphosate)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有抗药性的转基因玉米培植安全期为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50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；油桃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；桃子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；卷心菜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(0.5mg/kg,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；葡萄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天。干施培植棉花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801BAE" w:rsidTr="00B76AB6">
              <w:trPr>
                <w:jc w:val="center"/>
              </w:trPr>
              <w:tc>
                <w:tcPr>
                  <w:tcW w:w="697" w:type="dxa"/>
                </w:tcPr>
                <w:p w:rsidR="00801BAE" w:rsidRDefault="00801BAE" w:rsidP="00B76AB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801BAE" w:rsidTr="00B76AB6">
              <w:trPr>
                <w:jc w:val="center"/>
              </w:trPr>
              <w:tc>
                <w:tcPr>
                  <w:tcW w:w="697" w:type="dxa"/>
                </w:tcPr>
                <w:p w:rsidR="00801BAE" w:rsidRDefault="00801BAE" w:rsidP="00B76AB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801BAE" w:rsidRDefault="00801BAE" w:rsidP="00B76AB6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801BAE" w:rsidRDefault="00801BAE" w:rsidP="00B76AB6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8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29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日第</w:t>
                  </w:r>
                  <w:r>
                    <w:rPr>
                      <w:rFonts w:hAnsi="Times New Roman"/>
                      <w:lang w:eastAsia="zh-CN"/>
                    </w:rPr>
                    <w:t>RE165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号决议公布的有关杀虫剂、家居消毒产品及木材防腐剂活性成分专项表活性成份</w:t>
                  </w:r>
                  <w:r>
                    <w:rPr>
                      <w:rFonts w:hAnsi="Times New Roman"/>
                      <w:lang w:eastAsia="zh-CN"/>
                    </w:rPr>
                    <w:t>G-05-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草铵膦</w:t>
                  </w:r>
                  <w:r>
                    <w:rPr>
                      <w:rFonts w:hAnsi="Times New Roman"/>
                      <w:lang w:eastAsia="zh-CN"/>
                    </w:rPr>
                    <w:t>(GLUFOSINATE)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的决议草案</w:t>
                  </w:r>
                  <w:r>
                    <w:rPr>
                      <w:rFonts w:hAnsi="Times New Roman"/>
                      <w:lang w:eastAsia="zh-CN"/>
                    </w:rPr>
                    <w:t>——</w:t>
                  </w: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9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日巴西官方公报</w:t>
                  </w:r>
                </w:p>
                <w:p w:rsidR="00801BAE" w:rsidRDefault="00801BAE" w:rsidP="00B76AB6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葡萄牙文</w:t>
                  </w:r>
                </w:p>
                <w:p w:rsidR="00801BAE" w:rsidRDefault="00801BAE" w:rsidP="00B76AB6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4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801BAE" w:rsidRDefault="00801BAE" w:rsidP="00B76AB6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http://portal.anvisa.gov.br/wps/wcm/connect/fc7f1b8045af7ee5a533afa9166895f7/Consulta+P%C3%BAblica+n%C2%B0+82+GGTOX+atual+1.pdf?MOD=AJPERES</w:t>
                  </w:r>
                </w:p>
              </w:tc>
            </w:tr>
            <w:tr w:rsidR="00801BAE" w:rsidTr="00B76AB6">
              <w:trPr>
                <w:jc w:val="center"/>
              </w:trPr>
              <w:tc>
                <w:tcPr>
                  <w:tcW w:w="697" w:type="dxa"/>
                </w:tcPr>
                <w:p w:rsidR="00801BAE" w:rsidRDefault="00801BAE" w:rsidP="00B76AB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出苗后施用培植莴苣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(0.5mg/kg,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当杀虫剂用于出苗后培植施用和野草时，对草甘膦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(Glyphosate)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有抗药性的转基因棉花培植安全期为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116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；香蕉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；柑橘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；桉树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；苹果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(0.05mg/kg,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；当杀虫剂用于出苗后培植施用和野草时，对草甘膦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(Glyphosate)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有抗药性的转基因玉米培植安全期为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50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；油桃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；桃子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；卷心菜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(0.5mg/kg,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；葡萄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天。干施培植棉花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</w:p>
              </w:tc>
            </w:tr>
            <w:tr w:rsidR="00801BAE" w:rsidTr="00B76AB6">
              <w:trPr>
                <w:jc w:val="center"/>
              </w:trPr>
              <w:tc>
                <w:tcPr>
                  <w:tcW w:w="697" w:type="dxa"/>
                </w:tcPr>
                <w:p w:rsidR="00801BAE" w:rsidRDefault="00801BAE" w:rsidP="00B76AB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801BAE" w:rsidTr="00B76AB6">
              <w:trPr>
                <w:jc w:val="center"/>
              </w:trPr>
              <w:tc>
                <w:tcPr>
                  <w:tcW w:w="697" w:type="dxa"/>
                </w:tcPr>
                <w:p w:rsidR="00801BAE" w:rsidRDefault="00801BAE" w:rsidP="00B76AB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lastRenderedPageBreak/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801BAE" w:rsidRDefault="00801BAE" w:rsidP="00B76AB6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801BAE" w:rsidRDefault="00801BAE" w:rsidP="00801BAE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801BAE" w:rsidTr="00B76AB6">
              <w:trPr>
                <w:jc w:val="center"/>
              </w:trPr>
              <w:tc>
                <w:tcPr>
                  <w:tcW w:w="697" w:type="dxa"/>
                </w:tcPr>
                <w:p w:rsidR="00801BAE" w:rsidRDefault="00801BAE" w:rsidP="00B76AB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9.</w:t>
                  </w:r>
                </w:p>
              </w:tc>
              <w:tc>
                <w:tcPr>
                  <w:tcW w:w="8290" w:type="dxa"/>
                </w:tcPr>
                <w:p w:rsidR="00801BAE" w:rsidRDefault="00801BAE" w:rsidP="00B76AB6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日巴西官方公报第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189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期第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节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,54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(ANVISA)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发布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82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号决议草案。一经批准，将公布于巴西官方公报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提供葡萄牙文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801BAE" w:rsidTr="00B76AB6">
              <w:trPr>
                <w:jc w:val="center"/>
              </w:trPr>
              <w:tc>
                <w:tcPr>
                  <w:tcW w:w="697" w:type="dxa"/>
                </w:tcPr>
                <w:p w:rsidR="00801BAE" w:rsidRDefault="00801BAE" w:rsidP="00B76AB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801BAE" w:rsidRDefault="00801BAE" w:rsidP="00B76AB6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801BAE" w:rsidTr="00B76AB6">
              <w:trPr>
                <w:jc w:val="center"/>
              </w:trPr>
              <w:tc>
                <w:tcPr>
                  <w:tcW w:w="697" w:type="dxa"/>
                </w:tcPr>
                <w:p w:rsidR="00801BAE" w:rsidRDefault="00801BAE" w:rsidP="00B76AB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801BAE" w:rsidRDefault="00801BAE" w:rsidP="00B76AB6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801BAE" w:rsidTr="00B76AB6">
              <w:trPr>
                <w:jc w:val="center"/>
              </w:trPr>
              <w:tc>
                <w:tcPr>
                  <w:tcW w:w="697" w:type="dxa"/>
                </w:tcPr>
                <w:p w:rsidR="00801BAE" w:rsidRDefault="00801BAE" w:rsidP="00B76AB6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801BAE" w:rsidRDefault="00801BAE" w:rsidP="00B76AB6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AnaPaulaS.J.daSilveiraeSilvaTel:+(5561)34625402/5404/5406E-mail:rel@anvisa.gov.br</w:t>
                  </w:r>
                </w:p>
              </w:tc>
            </w:tr>
            <w:tr w:rsidR="00801BAE" w:rsidTr="00B76AB6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801BAE" w:rsidRDefault="00801BAE" w:rsidP="00B76AB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801BAE" w:rsidRDefault="00801BAE" w:rsidP="00B76AB6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AnaPaulaS.J.daSilveiraeSilvaTel:+(5561)34625402/5404/5406E-mail:rel@anvisa.gov.br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801BAE" w:rsidRDefault="00801BAE" w:rsidP="00B76AB6">
            <w:pPr>
              <w:rPr>
                <w:lang w:eastAsia="zh-CN"/>
              </w:rPr>
            </w:pPr>
          </w:p>
        </w:tc>
      </w:tr>
      <w:tr w:rsidR="00801BAE" w:rsidTr="00B76AB6">
        <w:trPr>
          <w:jc w:val="center"/>
        </w:trPr>
        <w:tc>
          <w:tcPr>
            <w:tcW w:w="9032" w:type="dxa"/>
            <w:vAlign w:val="center"/>
          </w:tcPr>
          <w:p w:rsidR="00801BAE" w:rsidRDefault="00801BAE" w:rsidP="00B76AB6">
            <w:pPr>
              <w:rPr>
                <w:lang w:eastAsia="zh-CN"/>
              </w:rPr>
            </w:pPr>
          </w:p>
        </w:tc>
      </w:tr>
    </w:tbl>
    <w:p w:rsidR="00A16CCD" w:rsidRPr="00801BAE" w:rsidRDefault="00A16CCD" w:rsidP="00801BAE">
      <w:pPr>
        <w:jc w:val="left"/>
        <w:rPr>
          <w:rFonts w:hint="eastAsia"/>
          <w:lang w:val="es-ES" w:eastAsia="zh-CN"/>
        </w:rPr>
      </w:pPr>
    </w:p>
    <w:sectPr w:rsidR="00A16CCD" w:rsidRPr="00801BAE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65B" w:rsidRDefault="000C065B" w:rsidP="00A16CCD">
      <w:r>
        <w:separator/>
      </w:r>
    </w:p>
  </w:endnote>
  <w:endnote w:type="continuationSeparator" w:id="1">
    <w:p w:rsidR="000C065B" w:rsidRDefault="000C065B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65B" w:rsidRDefault="000C065B" w:rsidP="00A16CCD">
      <w:r>
        <w:separator/>
      </w:r>
    </w:p>
  </w:footnote>
  <w:footnote w:type="continuationSeparator" w:id="1">
    <w:p w:rsidR="000C065B" w:rsidRDefault="000C065B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FC6425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D2B742" w:tentative="1">
      <w:start w:val="1"/>
      <w:numFmt w:val="lowerLetter"/>
      <w:lvlText w:val="%2."/>
      <w:lvlJc w:val="left"/>
      <w:pPr>
        <w:ind w:left="1080" w:hanging="360"/>
      </w:pPr>
    </w:lvl>
    <w:lvl w:ilvl="2" w:tplc="0D6A07AC" w:tentative="1">
      <w:start w:val="1"/>
      <w:numFmt w:val="lowerRoman"/>
      <w:lvlText w:val="%3."/>
      <w:lvlJc w:val="right"/>
      <w:pPr>
        <w:ind w:left="1800" w:hanging="180"/>
      </w:pPr>
    </w:lvl>
    <w:lvl w:ilvl="3" w:tplc="A59015A0" w:tentative="1">
      <w:start w:val="1"/>
      <w:numFmt w:val="decimal"/>
      <w:lvlText w:val="%4."/>
      <w:lvlJc w:val="left"/>
      <w:pPr>
        <w:ind w:left="2520" w:hanging="360"/>
      </w:pPr>
    </w:lvl>
    <w:lvl w:ilvl="4" w:tplc="DFC29F6C" w:tentative="1">
      <w:start w:val="1"/>
      <w:numFmt w:val="lowerLetter"/>
      <w:lvlText w:val="%5."/>
      <w:lvlJc w:val="left"/>
      <w:pPr>
        <w:ind w:left="3240" w:hanging="360"/>
      </w:pPr>
    </w:lvl>
    <w:lvl w:ilvl="5" w:tplc="91D8B35A" w:tentative="1">
      <w:start w:val="1"/>
      <w:numFmt w:val="lowerRoman"/>
      <w:lvlText w:val="%6."/>
      <w:lvlJc w:val="right"/>
      <w:pPr>
        <w:ind w:left="3960" w:hanging="180"/>
      </w:pPr>
    </w:lvl>
    <w:lvl w:ilvl="6" w:tplc="057A807C" w:tentative="1">
      <w:start w:val="1"/>
      <w:numFmt w:val="decimal"/>
      <w:lvlText w:val="%7."/>
      <w:lvlJc w:val="left"/>
      <w:pPr>
        <w:ind w:left="4680" w:hanging="360"/>
      </w:pPr>
    </w:lvl>
    <w:lvl w:ilvl="7" w:tplc="9B1E7256" w:tentative="1">
      <w:start w:val="1"/>
      <w:numFmt w:val="lowerLetter"/>
      <w:lvlText w:val="%8."/>
      <w:lvlJc w:val="left"/>
      <w:pPr>
        <w:ind w:left="5400" w:hanging="360"/>
      </w:pPr>
    </w:lvl>
    <w:lvl w:ilvl="8" w:tplc="CAE2C4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C065B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FD9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7243FC"/>
    <w:rsid w:val="007502C8"/>
    <w:rsid w:val="00772EA6"/>
    <w:rsid w:val="007B79CE"/>
    <w:rsid w:val="00801BAE"/>
    <w:rsid w:val="00843254"/>
    <w:rsid w:val="00856C09"/>
    <w:rsid w:val="008952D9"/>
    <w:rsid w:val="008A51E6"/>
    <w:rsid w:val="008B2FBB"/>
    <w:rsid w:val="008E0097"/>
    <w:rsid w:val="00931EAC"/>
    <w:rsid w:val="009C01AE"/>
    <w:rsid w:val="009E3C21"/>
    <w:rsid w:val="009F6F03"/>
    <w:rsid w:val="00A16CCD"/>
    <w:rsid w:val="00A2560E"/>
    <w:rsid w:val="00A7281D"/>
    <w:rsid w:val="00AA1097"/>
    <w:rsid w:val="00AC5975"/>
    <w:rsid w:val="00B73C74"/>
    <w:rsid w:val="00B80708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1427</Words>
  <Characters>8137</Characters>
  <Application>Microsoft Office Word</Application>
  <DocSecurity>0</DocSecurity>
  <Lines>67</Lines>
  <Paragraphs>19</Paragraphs>
  <ScaleCrop>false</ScaleCrop>
  <LinksUpToDate>false</LinksUpToDate>
  <CharactersWithSpaces>9545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2013-10-03T00:59:00Z</dcterms:created>
  <dcterms:modified xsi:type="dcterms:W3CDTF">2014-10-27T02:53:00Z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