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F23949" w:rsidRPr="00EA4725" w:rsidTr="00BF158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23949" w:rsidRPr="00EA4725" w:rsidRDefault="00F23949" w:rsidP="00BF158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23949" w:rsidRPr="00EA4725" w:rsidRDefault="00F23949" w:rsidP="00BF1582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F23949" w:rsidRPr="00EA4725" w:rsidTr="00BF158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F23949" w:rsidRPr="00EA4725" w:rsidRDefault="00F23949" w:rsidP="00BF158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F23949" w:rsidRPr="00EA4725" w:rsidRDefault="00F23949" w:rsidP="00BF1582">
            <w:pPr>
              <w:jc w:val="right"/>
              <w:rPr>
                <w:b/>
                <w:szCs w:val="16"/>
              </w:rPr>
            </w:pPr>
          </w:p>
        </w:tc>
      </w:tr>
      <w:tr w:rsidR="00F23949" w:rsidRPr="00EA4725" w:rsidTr="00BF158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F23949" w:rsidRPr="00EA4725" w:rsidRDefault="00F23949" w:rsidP="00BF158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F23949" w:rsidRDefault="00F23949" w:rsidP="00BF1582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G/SPS/N/BRA/994</w:t>
            </w:r>
          </w:p>
          <w:bookmarkEnd w:id="1"/>
          <w:p w:rsidR="00F23949" w:rsidRPr="00EA4725" w:rsidRDefault="00F23949" w:rsidP="00BF1582">
            <w:pPr>
              <w:jc w:val="right"/>
              <w:rPr>
                <w:b/>
                <w:szCs w:val="16"/>
              </w:rPr>
            </w:pPr>
          </w:p>
        </w:tc>
      </w:tr>
      <w:tr w:rsidR="00F23949" w:rsidRPr="00EA4725" w:rsidTr="00BF158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23949" w:rsidRPr="00EA4725" w:rsidRDefault="00F23949" w:rsidP="00BF158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23949" w:rsidRPr="00EA4725" w:rsidRDefault="00F23949" w:rsidP="00BF1582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13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F23949" w:rsidRPr="00EA4725" w:rsidTr="00BF158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F23949" w:rsidRPr="00EA4725" w:rsidRDefault="00F23949" w:rsidP="00BF1582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14-5819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F23949" w:rsidRPr="00EA4725" w:rsidRDefault="00F23949" w:rsidP="00BF1582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5"/>
          </w:p>
        </w:tc>
      </w:tr>
      <w:tr w:rsidR="00F23949" w:rsidRPr="00EA4725" w:rsidTr="00BF158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F23949" w:rsidRPr="00EA4725" w:rsidRDefault="00F23949" w:rsidP="00BF1582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F23949" w:rsidRPr="00EA4725" w:rsidRDefault="00F23949" w:rsidP="00BF1582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F23949" w:rsidRPr="00656ABC" w:rsidRDefault="00F23949" w:rsidP="00F23949">
      <w:pPr>
        <w:pStyle w:val="a6"/>
        <w:spacing w:before="0" w:after="0"/>
      </w:pPr>
      <w:r w:rsidRPr="00656ABC">
        <w:t>NOTIFICATION</w:t>
      </w:r>
    </w:p>
    <w:tbl>
      <w:tblPr>
        <w:tblW w:w="903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5"/>
      </w:tblGrid>
      <w:tr w:rsidR="00F23949" w:rsidRPr="00656ABC" w:rsidTr="00F23949">
        <w:trPr>
          <w:jc w:val="center"/>
        </w:trPr>
        <w:tc>
          <w:tcPr>
            <w:tcW w:w="567" w:type="dxa"/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F23949" w:rsidRPr="00656ABC" w:rsidRDefault="00F23949" w:rsidP="00F23949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F23949" w:rsidRPr="00656ABC" w:rsidRDefault="00F23949" w:rsidP="00F23949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F23949" w:rsidRPr="00656ABC" w:rsidRDefault="00F23949" w:rsidP="00F23949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F23949" w:rsidRPr="00656ABC" w:rsidRDefault="00F23949" w:rsidP="00F23949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in cultures of pumpkin (0.3mg/kg, safety security period of 1 day), zucchini (0.3mg/kg, safety security period of 1 day), cotton (0.2mg/kg, safety security period of 14 days), rice (0.2mg/kg, safety security period of 15 days), oat (0.3mg/kg, safety security period of 10 days), potato (0.01mg/kg, safety security period of 1 day), broccoli (0.7mg/kg, safety security period of 1 day), coffee (0.03mg/kg, safety security period of 21 days), sugarcane (0.2mg/kg, safety security period of 60 days), barley (0.4mg/kg, safety security period of 10 days), chayote (0.3mg/kg, safety security period of 1 day), citrus (0.2mg/kg, safety security period of 5 days), kale (0.7mg/kg, safety security period of 1 day), Chinese cabbage (0,7mg/kg, safety security period of 1 day), Brussels sprouts (0.7mg/kg, safety security period of 1 day), cauliflower (0.7mg/kg, safety security period of 1 day), bean (0.05mg/kg, safety security period of 7 days), sunflower (0.02mg/kg, safety security period of 21 days), apple (0.1mg/kg, safety security period of 14 days), West Indian gherkin (0.3mg/kg, safety security period of 1 day), melon (0.2mg/kg, safety security period of 7 days), watermelon (0.2mg/kg, safety security period of 7 days), corn (0.07mg/kg, safety security period of 14 days), cucumber (0.3mg/kg, safety security period of 1 day), peach (0.1mg/kg, safety security period of 14 days), cabbage (0.7mg/kg, safety security period of 1 day), soy (0.2mg/kg, safety security period of 21</w:t>
            </w:r>
            <w:r>
              <w:t> </w:t>
            </w:r>
            <w:r w:rsidRPr="00656ABC">
              <w:t>days), tomato (0.3mg/kg, safety security period of 1 day), wheat (0.1mg/kg, safety security period of 10 days. Soil application in cultures of cotton (0.2mg/kg, safety security period not determined due to the mode of use), coffee (0.03mg/kg, safety security period of 35 days), sugarcane (0.2mg/kg, safety security period not determined due to the mode of use), citrus (0.2mg/kg, safety security period of 14 days), corn (0.07mg/kg, Safety security period not determined due to the mode of use), soy (0.2mg/kg, safety security period not determined due to the mode of use).</w:t>
            </w:r>
            <w:bookmarkEnd w:id="11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23949" w:rsidRPr="00656ABC" w:rsidRDefault="00F23949" w:rsidP="00F23949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F23949" w:rsidRPr="00656ABC" w:rsidRDefault="00F23949" w:rsidP="00F2394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C70 CHLORANTRANILIPROLE of the monograph list of active ingredients for pesticides, household cleaning products and wood preservers, published by Resolution - RE N° 165 of 29 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 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F23949" w:rsidRPr="00656ABC" w:rsidRDefault="00F23949" w:rsidP="00F23949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"http://portal.anvisa.gov.br/wps/wcm/connect/eac0888045b013e0a6ccafa9166895f7/Consulta+P%C3%BAblica+n%C2%B0+85+GGTOX+atual.pdf?MOD=AJPERES" </w:instrText>
            </w:r>
            <w:r>
              <w:fldChar w:fldCharType="separate"/>
            </w:r>
            <w:r w:rsidRPr="00DB04E8">
              <w:rPr>
                <w:rStyle w:val="af3"/>
              </w:rPr>
              <w:t>http://portal.anvisa.gov.br/wps/wcm/connect/eac0888045b013e0a6ccafa9166895f7/Consulta+P%C3%BAblica+n%C2%B0+85+GGTOX+atual.pdf?MOD=AJPERES</w:t>
            </w:r>
            <w:bookmarkEnd w:id="19"/>
            <w:r>
              <w:fldChar w:fldCharType="end"/>
            </w:r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F23949" w:rsidRPr="00656ABC" w:rsidRDefault="00F23949" w:rsidP="00F23949">
            <w:pPr>
              <w:keepNext/>
              <w:keepLines/>
              <w:jc w:val="left"/>
            </w:pPr>
            <w:r w:rsidRPr="00656ABC">
              <w:rPr>
                <w:b/>
              </w:rPr>
              <w:lastRenderedPageBreak/>
              <w:t>6.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F23949" w:rsidRPr="00656ABC" w:rsidRDefault="00F23949" w:rsidP="00F23949">
            <w:pPr>
              <w:keepNext/>
              <w:keepLines/>
            </w:pPr>
            <w:r w:rsidRPr="00656ABC">
              <w:rPr>
                <w:b/>
              </w:rPr>
              <w:t xml:space="preserve">Description of content: </w:t>
            </w:r>
            <w:r w:rsidRPr="00DB04E8">
              <w:t>Foliar application in cultures of pumpkin (0.3mg/kg, safety security period of 1 day), zucchini (0.3mg/kg, safety security period of 1 day), cotton (0.2mg/kg, safety security period of 14 days), rice (0.2mg/kg, safety security period of 15 days), oat (0.3mg/kg, safety security period of 10 days), potato (0.01mg/kg, safety security period of 1 day), broccoli (0.7mg/kg, safety security period of 1 day), coffee (0.03mg/kg, safety security period of 21 days), sugarcane (0.2mg/kg, safety security period of 60 days), barley (0.4mg/kg, safety security period of 10 days), chayote (0.3mg/kg, safety security period of 1 day), citrus (0.2mg/kg, safety security period of 5</w:t>
            </w:r>
            <w:r>
              <w:t> </w:t>
            </w:r>
            <w:r w:rsidRPr="00DB04E8">
              <w:t>days), kale (0.7mg/kg, safety security period of 1 day), Chinese cabbage (0.7mg/kg, safety security period of 1 day), Brussels sprouts (0.7mg/kg, safety security period of 1</w:t>
            </w:r>
            <w:r>
              <w:t> </w:t>
            </w:r>
            <w:r w:rsidRPr="00DB04E8">
              <w:t xml:space="preserve">day), cauliflower (0.7mg/kg, safety security period of 1 day), bean (0.05mg/kg, safety security period of 7 days), sunflower (0.02mg/kg, safety security period of 21 days), apple </w:t>
            </w:r>
            <w:r>
              <w:t>(0.1mg/kg, safety security period of 14 days), West Indian gherkin (0.3mg/kg, safety security period of 1 day), melon (0.2mg/kg, safety security period of 7 days),</w:t>
            </w:r>
            <w:r w:rsidRPr="00DB04E8">
              <w:t xml:space="preserve"> watermelon (0.2mg/kg, safety security period of 7 days), corn (0.07mg/kg, safety security period of 14 days), cucumber (0.3mg/kg, safety security period of 1 day), peach (0.1mg/kg, safety security period of 14 days), cabbage (0.7mg/kg, safety security period of 1 day), soy (0.2mg/kg, safety security period of 21 days), tomato (0.3mg/kg, safety security period of 1 day), wheat (0.1mg/kg, safety security period of 10 days. Soil application in cultures of cotton (0.2mg/kg, safety security period not determined due to the mode of use), coffee (0.03mg/kg, safety security period of 35 days), sugarcane (0.2mg/kg, safety security period not determined due to the mode of use), citrus (0.2mg/kg, safety security period of 14 days), corn (0.07mg/kg, safety security period not determined due to the mode of use), soy (0.2mg/kg, safety security period not determined due to the mode of use).</w:t>
            </w:r>
          </w:p>
        </w:tc>
      </w:tr>
      <w:tr w:rsidR="00F23949" w:rsidRPr="00656ABC" w:rsidTr="00F23949">
        <w:trPr>
          <w:jc w:val="center"/>
        </w:trPr>
        <w:tc>
          <w:tcPr>
            <w:tcW w:w="567" w:type="dxa"/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</w:tcPr>
          <w:p w:rsidR="00F23949" w:rsidRPr="00656ABC" w:rsidRDefault="00F23949" w:rsidP="00F23949"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>] food safety, 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23949" w:rsidRPr="00656ABC" w:rsidRDefault="00F23949" w:rsidP="00F23949">
            <w:r w:rsidRPr="00656ABC">
              <w:rPr>
                <w:b/>
              </w:rPr>
              <w:t>Is there a relevant international standard? If so, identify the standard:</w:t>
            </w:r>
          </w:p>
          <w:p w:rsidR="00F23949" w:rsidRPr="00656ABC" w:rsidRDefault="00F23949" w:rsidP="00F23949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F23949" w:rsidRPr="00656ABC" w:rsidRDefault="00F23949" w:rsidP="00F2394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F23949" w:rsidRPr="00656ABC" w:rsidRDefault="00F23949" w:rsidP="00F2394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F23949" w:rsidRPr="00656ABC" w:rsidRDefault="00F23949" w:rsidP="00F2394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F23949" w:rsidRPr="00656ABC" w:rsidRDefault="00F23949" w:rsidP="00F23949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F23949" w:rsidRPr="00F23949" w:rsidRDefault="00F23949" w:rsidP="00F23949">
            <w:pPr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No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 xml:space="preserve"> </w:t>
            </w:r>
            <w:bookmarkEnd w:id="34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 w:rsidRPr="00656ABC">
              <w:t>The Brazilian Official Journal (Diário Oficial da União), 1 October 2014, 189</w:t>
            </w:r>
            <w:r w:rsidRPr="00DB04E8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55. Draft Resolution (Consulta Pública) number 85, 29 September 2014, issued by the Brazilian Health Surveillance Agency (ANVISA). When adopted, it will be published at the Brazilian Official Journal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>(available in Portuguese)</w:t>
            </w:r>
            <w:bookmarkEnd w:id="36"/>
            <w:r>
              <w:rPr>
                <w:bCs/>
              </w:rPr>
              <w:t>.</w:t>
            </w:r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F23949" w:rsidRPr="00656ABC" w:rsidRDefault="00F23949" w:rsidP="00F23949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F23949" w:rsidRPr="00656ABC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F23949" w:rsidRPr="00656ABC" w:rsidRDefault="00F23949" w:rsidP="00F2394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F23949" w:rsidRPr="00DB04E8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F23949" w:rsidRPr="00656ABC" w:rsidRDefault="00F23949" w:rsidP="00F23949"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30 October 2014</w:t>
            </w:r>
            <w:bookmarkEnd w:id="44"/>
          </w:p>
          <w:p w:rsidR="00F23949" w:rsidRPr="00F23949" w:rsidRDefault="00F23949" w:rsidP="00F23949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  <w:r w:rsidRPr="00DB04E8">
              <w:rPr>
                <w:lang w:val="es-ES"/>
              </w:rPr>
              <w:t xml:space="preserve">Ana </w:t>
            </w:r>
            <w:r>
              <w:rPr>
                <w:lang w:val="es-ES"/>
              </w:rPr>
              <w:t>Paula S. J. da Silveira e Silva</w:t>
            </w:r>
            <w:r>
              <w:rPr>
                <w:rFonts w:hint="eastAsia"/>
                <w:lang w:val="es-ES" w:eastAsia="zh-CN"/>
              </w:rPr>
              <w:t xml:space="preserve"> </w:t>
            </w:r>
            <w:r w:rsidRPr="00DB04E8">
              <w:rPr>
                <w:lang w:val="es-ES"/>
              </w:rPr>
              <w:t>Tel: +(55 61) 3462 5402/5404/5406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DB04E8">
              <w:rPr>
                <w:lang w:val="es-ES"/>
              </w:rPr>
              <w:t>E-mail: rel@anvisa.gov.br</w:t>
            </w:r>
            <w:bookmarkEnd w:id="47"/>
          </w:p>
        </w:tc>
      </w:tr>
      <w:tr w:rsidR="00F23949" w:rsidRPr="00DB04E8" w:rsidTr="00F23949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F23949" w:rsidRPr="00656ABC" w:rsidRDefault="00F23949" w:rsidP="00F23949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F23949" w:rsidRDefault="00F23949" w:rsidP="00F23949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F23949" w:rsidRPr="00DB04E8" w:rsidRDefault="00F23949" w:rsidP="00F23949">
            <w:pPr>
              <w:rPr>
                <w:b/>
                <w:lang w:val="es-ES"/>
              </w:rPr>
            </w:pPr>
            <w:r w:rsidRPr="00DB04E8">
              <w:rPr>
                <w:bCs/>
                <w:lang w:val="es-ES"/>
              </w:rPr>
              <w:t>Ana Paula S. J. da Silveira e Silva</w:t>
            </w:r>
          </w:p>
          <w:p w:rsidR="00F23949" w:rsidRPr="00DB04E8" w:rsidRDefault="00F23949" w:rsidP="00F23949">
            <w:pPr>
              <w:rPr>
                <w:bCs/>
                <w:lang w:val="es-ES"/>
              </w:rPr>
            </w:pPr>
            <w:r w:rsidRPr="00DB04E8">
              <w:rPr>
                <w:bCs/>
                <w:lang w:val="es-ES"/>
              </w:rPr>
              <w:t>Tel: +(55 61) 3462 5402/5404/5406</w:t>
            </w:r>
            <w:r>
              <w:rPr>
                <w:rFonts w:hint="eastAsia"/>
                <w:bCs/>
                <w:lang w:val="es-ES" w:eastAsia="zh-CN"/>
              </w:rPr>
              <w:t xml:space="preserve"> </w:t>
            </w:r>
            <w:r w:rsidRPr="00DB04E8">
              <w:rPr>
                <w:bCs/>
                <w:lang w:val="es-ES"/>
              </w:rPr>
              <w:t>E-mail: rel@anvisa.gov.br</w:t>
            </w:r>
            <w:bookmarkEnd w:id="50"/>
          </w:p>
        </w:tc>
      </w:tr>
      <w:tr w:rsidR="00F23949" w:rsidTr="00F23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jc w:val="center"/>
        </w:trPr>
        <w:tc>
          <w:tcPr>
            <w:tcW w:w="9032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F23949" w:rsidTr="00BF1582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F23949" w:rsidRDefault="00F23949" w:rsidP="00BF1582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F23949" w:rsidRDefault="00F23949" w:rsidP="00BF1582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G/SPS/N/BRA/994</w:t>
                  </w:r>
                </w:p>
                <w:p w:rsidR="00F23949" w:rsidRDefault="00F23949" w:rsidP="00BF1582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F23949" w:rsidRDefault="00F23949" w:rsidP="00BF158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14-5819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160" w:type="dxa"/>
                </w:tcPr>
                <w:p w:rsidR="00F23949" w:rsidRDefault="00F23949" w:rsidP="00BF158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F23949" w:rsidRDefault="00F23949" w:rsidP="00BF1582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F23949" w:rsidRDefault="00F23949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F23949" w:rsidRDefault="00F23949" w:rsidP="00BF1582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F23949" w:rsidRDefault="00F23949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F23949" w:rsidRDefault="00F23949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F23949" w:rsidRDefault="00F23949" w:rsidP="00BF158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 </w:t>
                  </w:r>
                </w:p>
                <w:p w:rsidR="00F23949" w:rsidRDefault="00F23949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-ANVISA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；稻米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；羽衣甘蓝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；大白菜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(0,7mg/kg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；球芽甘蓝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；西印度黄瓜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；桃子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天。土施培植棉花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只要相关或可行，可能受影响的地区或国家：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特定地区或国家：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通报文件的标题、语言及页数：</w:t>
                  </w:r>
                </w:p>
                <w:p w:rsidR="00F23949" w:rsidRDefault="00F23949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2003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8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29</w:t>
                  </w:r>
                  <w:r>
                    <w:rPr>
                      <w:rFonts w:hAnsi="Times New Roman"/>
                    </w:rPr>
                    <w:t>日第</w:t>
                  </w:r>
                  <w:r>
                    <w:rPr>
                      <w:rFonts w:hAnsi="Times New Roman"/>
                    </w:rPr>
                    <w:t>RE165</w:t>
                  </w:r>
                  <w:r>
                    <w:rPr>
                      <w:rFonts w:hAnsi="Times New Roma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</w:rPr>
                    <w:t>C70-</w:t>
                  </w:r>
                  <w:r>
                    <w:rPr>
                      <w:rFonts w:hAnsi="Times New Roman"/>
                    </w:rPr>
                    <w:t>氯虫酰胺</w:t>
                  </w:r>
                  <w:r>
                    <w:rPr>
                      <w:rFonts w:hAnsi="Times New Roman"/>
                    </w:rPr>
                    <w:t>(CHLORANTRANILIPROLE)</w:t>
                  </w:r>
                  <w:r>
                    <w:rPr>
                      <w:rFonts w:hAnsi="Times New Roman"/>
                    </w:rPr>
                    <w:t>的决议草案——</w:t>
                  </w:r>
                  <w:r>
                    <w:rPr>
                      <w:rFonts w:hAnsi="Times New Roman"/>
                    </w:rPr>
                    <w:t>2003</w:t>
                  </w:r>
                  <w:r>
                    <w:rPr>
                      <w:rFonts w:hAnsi="Times New Roman"/>
                    </w:rPr>
                    <w:t>年</w:t>
                  </w:r>
                  <w:r>
                    <w:rPr>
                      <w:rFonts w:hAnsi="Times New Roman"/>
                    </w:rPr>
                    <w:t>9</w:t>
                  </w:r>
                  <w:r>
                    <w:rPr>
                      <w:rFonts w:hAnsi="Times New Roman"/>
                    </w:rPr>
                    <w:t>月</w:t>
                  </w:r>
                  <w:r>
                    <w:rPr>
                      <w:rFonts w:hAnsi="Times New Roman"/>
                    </w:rPr>
                    <w:t>2</w:t>
                  </w:r>
                  <w:r>
                    <w:rPr>
                      <w:rFonts w:hAnsi="Times New Roman"/>
                    </w:rPr>
                    <w:t>日巴西官方公报</w:t>
                  </w:r>
                </w:p>
                <w:p w:rsidR="00F23949" w:rsidRDefault="00F23949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葡萄牙文</w:t>
                  </w:r>
                </w:p>
                <w:p w:rsidR="00F23949" w:rsidRDefault="00F23949" w:rsidP="00BF158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3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F23949" w:rsidRDefault="00F23949" w:rsidP="00BF158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http://portal.anvisa.gov.br/wps/wcm/connect/eac0888045b013e0a6ccafa9166895f7/Consulta+P%C3%BAblica+n%C2%B0+85+GGTOX+atual.pdf?MOD=AJPERES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；稻米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；羽衣甘蓝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；大白菜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(0,7mg/kg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；球芽甘蓝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；苹果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；西印度黄瓜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；桃子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天。土施培植棉花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；因施用方式原因，安全期未定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</w:p>
                <w:p w:rsidR="00F23949" w:rsidRDefault="00F23949" w:rsidP="00BF1582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</w:p>
                <w:p w:rsidR="00F23949" w:rsidRDefault="00F23949" w:rsidP="00F23949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</w:rPr>
                    <w:t>,55</w:t>
                  </w:r>
                  <w:r>
                    <w:rPr>
                      <w:rFonts w:ascii="Times New Roman" w:hAnsi="Times New Roman"/>
                      <w:szCs w:val="21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</w:rPr>
                    <w:t>85</w:t>
                  </w:r>
                  <w:r>
                    <w:rPr>
                      <w:rFonts w:ascii="Times New Roman" w:hAnsi="Times New Roman"/>
                      <w:szCs w:val="21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</w:p>
                <w:p w:rsidR="00F23949" w:rsidRDefault="00F23949" w:rsidP="00BF1582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</w:p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</w:p>
                <w:p w:rsidR="00F23949" w:rsidRDefault="00F23949" w:rsidP="00BF1582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F23949" w:rsidTr="00BF1582">
              <w:trPr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  <w:p w:rsidR="00F23949" w:rsidRDefault="00F23949" w:rsidP="00BF1582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AnaPaulaS.J.daSilveiraeSilvaTel:+(5561)3462-5402/5404/5406E-mail:rel@anvisa.gov.br</w:t>
                  </w:r>
                </w:p>
              </w:tc>
            </w:tr>
            <w:tr w:rsidR="00F23949" w:rsidTr="00BF1582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F23949" w:rsidRDefault="00F23949" w:rsidP="00BF158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F23949" w:rsidRDefault="00F23949" w:rsidP="00BF158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AnaPaulaS.J.daSilveiraeSilvaTel:+(5561)3462-5402/5404/5406E-mail:rel@anvisa.gov.br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F23949" w:rsidRDefault="00F23949" w:rsidP="00BF1582"/>
        </w:tc>
      </w:tr>
      <w:tr w:rsidR="00F23949" w:rsidTr="00F23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jc w:val="center"/>
        </w:trPr>
        <w:tc>
          <w:tcPr>
            <w:tcW w:w="9032" w:type="dxa"/>
            <w:gridSpan w:val="2"/>
            <w:vAlign w:val="center"/>
          </w:tcPr>
          <w:p w:rsidR="00F23949" w:rsidRDefault="00F23949" w:rsidP="00BF1582"/>
        </w:tc>
      </w:tr>
    </w:tbl>
    <w:p w:rsidR="00A16CCD" w:rsidRPr="00F23949" w:rsidRDefault="00A16CCD" w:rsidP="00F23949">
      <w:pPr>
        <w:rPr>
          <w:lang w:val="es-ES"/>
        </w:rPr>
      </w:pPr>
    </w:p>
    <w:sectPr w:rsidR="00A16CCD" w:rsidRPr="00F23949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16" w:rsidRDefault="00BD6F16" w:rsidP="00A16CCD">
      <w:r>
        <w:separator/>
      </w:r>
    </w:p>
  </w:endnote>
  <w:endnote w:type="continuationSeparator" w:id="1">
    <w:p w:rsidR="00BD6F16" w:rsidRDefault="00BD6F16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16" w:rsidRDefault="00BD6F16" w:rsidP="00A16CCD">
      <w:r>
        <w:separator/>
      </w:r>
    </w:p>
  </w:footnote>
  <w:footnote w:type="continuationSeparator" w:id="1">
    <w:p w:rsidR="00BD6F16" w:rsidRDefault="00BD6F16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C893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6A931A" w:tentative="1">
      <w:start w:val="1"/>
      <w:numFmt w:val="lowerLetter"/>
      <w:lvlText w:val="%2."/>
      <w:lvlJc w:val="left"/>
      <w:pPr>
        <w:ind w:left="1080" w:hanging="360"/>
      </w:pPr>
    </w:lvl>
    <w:lvl w:ilvl="2" w:tplc="D4986116" w:tentative="1">
      <w:start w:val="1"/>
      <w:numFmt w:val="lowerRoman"/>
      <w:lvlText w:val="%3."/>
      <w:lvlJc w:val="right"/>
      <w:pPr>
        <w:ind w:left="1800" w:hanging="180"/>
      </w:pPr>
    </w:lvl>
    <w:lvl w:ilvl="3" w:tplc="19AC3DAC" w:tentative="1">
      <w:start w:val="1"/>
      <w:numFmt w:val="decimal"/>
      <w:lvlText w:val="%4."/>
      <w:lvlJc w:val="left"/>
      <w:pPr>
        <w:ind w:left="2520" w:hanging="360"/>
      </w:pPr>
    </w:lvl>
    <w:lvl w:ilvl="4" w:tplc="3D180E42" w:tentative="1">
      <w:start w:val="1"/>
      <w:numFmt w:val="lowerLetter"/>
      <w:lvlText w:val="%5."/>
      <w:lvlJc w:val="left"/>
      <w:pPr>
        <w:ind w:left="3240" w:hanging="360"/>
      </w:pPr>
    </w:lvl>
    <w:lvl w:ilvl="5" w:tplc="406E39E6" w:tentative="1">
      <w:start w:val="1"/>
      <w:numFmt w:val="lowerRoman"/>
      <w:lvlText w:val="%6."/>
      <w:lvlJc w:val="right"/>
      <w:pPr>
        <w:ind w:left="3960" w:hanging="180"/>
      </w:pPr>
    </w:lvl>
    <w:lvl w:ilvl="6" w:tplc="A4E8E26C" w:tentative="1">
      <w:start w:val="1"/>
      <w:numFmt w:val="decimal"/>
      <w:lvlText w:val="%7."/>
      <w:lvlJc w:val="left"/>
      <w:pPr>
        <w:ind w:left="4680" w:hanging="360"/>
      </w:pPr>
    </w:lvl>
    <w:lvl w:ilvl="7" w:tplc="EB4457D0" w:tentative="1">
      <w:start w:val="1"/>
      <w:numFmt w:val="lowerLetter"/>
      <w:lvlText w:val="%8."/>
      <w:lvlJc w:val="left"/>
      <w:pPr>
        <w:ind w:left="5400" w:hanging="360"/>
      </w:pPr>
    </w:lvl>
    <w:lvl w:ilvl="8" w:tplc="29028D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55B92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04ECD"/>
    <w:rsid w:val="00B73C74"/>
    <w:rsid w:val="00BB2E4C"/>
    <w:rsid w:val="00BD6F16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23949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1616</Words>
  <Characters>9217</Characters>
  <Application>Microsoft Office Word</Application>
  <DocSecurity>0</DocSecurity>
  <Lines>76</Lines>
  <Paragraphs>21</Paragraphs>
  <ScaleCrop>false</ScaleCrop>
  <LinksUpToDate>false</LinksUpToDate>
  <CharactersWithSpaces>10812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